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65B60">
        <w:trPr>
          <w:trHeight w:val="852"/>
          <w:jc w:val="center"/>
        </w:trPr>
        <w:tc>
          <w:tcPr>
            <w:tcW w:w="6940" w:type="dxa"/>
            <w:vMerge w:val="restart"/>
            <w:tcBorders>
              <w:right w:val="single" w:sz="4" w:space="0" w:color="auto"/>
            </w:tcBorders>
          </w:tcPr>
          <w:p w14:paraId="38C3D2BA" w14:textId="77777777" w:rsidR="000A03B2" w:rsidRPr="00B57B36" w:rsidRDefault="000A03B2" w:rsidP="00937E38">
            <w:pPr>
              <w:pStyle w:val="CETAddress"/>
              <w:rPr>
                <w:sz w:val="12"/>
                <w:szCs w:val="12"/>
                <w:lang w:eastAsia="it-IT"/>
              </w:rPr>
            </w:pPr>
            <w:r w:rsidRPr="00B57B36">
              <w:rPr>
                <w:rFonts w:ascii="AdvP6960" w:hAnsi="AdvP6960" w:cs="AdvP6960"/>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lang w:eastAsia="it-IT"/>
              </w:rPr>
              <w:t>CHEMICAL ENGINEERING</w:t>
            </w:r>
            <w:r w:rsidRPr="00B57B36">
              <w:rPr>
                <w:color w:val="0033FF"/>
                <w:lang w:eastAsia="it-IT"/>
              </w:rPr>
              <w:t xml:space="preserve"> </w:t>
            </w:r>
            <w:r w:rsidRPr="00B57B36">
              <w:rPr>
                <w:color w:val="666666"/>
                <w:lang w:eastAsia="it-IT"/>
              </w:rPr>
              <w:t>TRANSACTIONS</w:t>
            </w:r>
            <w:r w:rsidRPr="00B57B36">
              <w:rPr>
                <w:color w:val="333333"/>
                <w:lang w:eastAsia="it-IT"/>
              </w:rPr>
              <w:t xml:space="preserve"> </w:t>
            </w:r>
            <w:r w:rsidRPr="00B57B36">
              <w:rPr>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165B60">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165B60">
        <w:trPr>
          <w:trHeight w:val="68"/>
          <w:jc w:val="center"/>
        </w:trPr>
        <w:tc>
          <w:tcPr>
            <w:tcW w:w="8782"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04FDC451" w:rsidR="00E978D0" w:rsidRPr="00B57B36" w:rsidRDefault="00165B60" w:rsidP="00E978D0">
      <w:pPr>
        <w:pStyle w:val="CETTitle"/>
      </w:pPr>
      <w:r w:rsidRPr="00165B60">
        <w:t>Separating H</w:t>
      </w:r>
      <w:r w:rsidR="00AE74A8">
        <w:t>ydrogen</w:t>
      </w:r>
      <w:r w:rsidRPr="00165B60">
        <w:t xml:space="preserve"> from Syngas </w:t>
      </w:r>
      <w:r w:rsidR="00AE74A8">
        <w:t>(</w:t>
      </w:r>
      <w:r w:rsidRPr="00165B60">
        <w:t>produced from the Gasification of Waste</w:t>
      </w:r>
      <w:r w:rsidR="00AE74A8">
        <w:t>)</w:t>
      </w:r>
      <w:r w:rsidRPr="00165B60">
        <w:t xml:space="preserve"> using Pressure Swing Adsorption – Methodology and Results</w:t>
      </w:r>
    </w:p>
    <w:p w14:paraId="0488FED2" w14:textId="4EFC0271" w:rsidR="00B57E6F" w:rsidRPr="00B57B36" w:rsidRDefault="000E45A6" w:rsidP="00B57E6F">
      <w:pPr>
        <w:pStyle w:val="CETAuthors"/>
      </w:pPr>
      <w:r w:rsidRPr="000E45A6">
        <w:t>Stan</w:t>
      </w:r>
      <w:r>
        <w:t xml:space="preserve"> T.</w:t>
      </w:r>
      <w:r w:rsidRPr="000E45A6">
        <w:t xml:space="preserve"> Kolaczkowski</w:t>
      </w:r>
      <w:r w:rsidRPr="00D441FF">
        <w:rPr>
          <w:vertAlign w:val="superscript"/>
        </w:rPr>
        <w:t>a</w:t>
      </w:r>
      <w:r w:rsidR="00D441FF">
        <w:rPr>
          <w:vertAlign w:val="superscript"/>
        </w:rPr>
        <w:t>,*</w:t>
      </w:r>
      <w:r w:rsidRPr="000E45A6">
        <w:t>, Paul Willacy</w:t>
      </w:r>
      <w:r w:rsidRPr="00D441FF">
        <w:rPr>
          <w:vertAlign w:val="superscript"/>
        </w:rPr>
        <w:t>b</w:t>
      </w:r>
      <w:r w:rsidRPr="000E45A6">
        <w:t xml:space="preserve">, Myron </w:t>
      </w:r>
      <w:r w:rsidR="00B86640">
        <w:t xml:space="preserve">D. J. </w:t>
      </w:r>
      <w:r w:rsidRPr="000E45A6">
        <w:t>Jones</w:t>
      </w:r>
      <w:r w:rsidRPr="00D441FF">
        <w:rPr>
          <w:vertAlign w:val="superscript"/>
        </w:rPr>
        <w:t>b</w:t>
      </w:r>
      <w:r w:rsidRPr="000E45A6">
        <w:t>, Marshall Pugh</w:t>
      </w:r>
      <w:r w:rsidRPr="00D441FF">
        <w:rPr>
          <w:vertAlign w:val="superscript"/>
        </w:rPr>
        <w:t>b</w:t>
      </w:r>
    </w:p>
    <w:p w14:paraId="6B2D21B3" w14:textId="342033B2" w:rsidR="00B57E6F" w:rsidRPr="00B57B36" w:rsidRDefault="00B57E6F" w:rsidP="00B57E6F">
      <w:pPr>
        <w:pStyle w:val="CETAddress"/>
      </w:pPr>
      <w:r w:rsidRPr="00B57B36">
        <w:rPr>
          <w:vertAlign w:val="superscript"/>
        </w:rPr>
        <w:t>a</w:t>
      </w:r>
      <w:r w:rsidR="00D441FF" w:rsidRPr="00D441FF">
        <w:t>Department of Chemical Engineering, University of Bath</w:t>
      </w:r>
      <w:r w:rsidR="00A41FC0">
        <w:t>, Claverton Down, Bath, BA2 7AY, UK</w:t>
      </w:r>
      <w:r w:rsidRPr="00B57B36">
        <w:t xml:space="preserve"> </w:t>
      </w:r>
    </w:p>
    <w:p w14:paraId="3D72B0B0" w14:textId="45B049B4" w:rsidR="00B57E6F" w:rsidRPr="00B57B36" w:rsidRDefault="00B57E6F" w:rsidP="00B57E6F">
      <w:pPr>
        <w:pStyle w:val="CETAddress"/>
      </w:pPr>
      <w:r w:rsidRPr="00B57B36">
        <w:rPr>
          <w:vertAlign w:val="superscript"/>
        </w:rPr>
        <w:t>b</w:t>
      </w:r>
      <w:r w:rsidR="00D441FF" w:rsidRPr="00D441FF">
        <w:t>Compact Syngas Solutions Ltd,</w:t>
      </w:r>
      <w:r w:rsidR="00A41FC0">
        <w:t xml:space="preserve"> Whittle Close, Engineer Park, </w:t>
      </w:r>
      <w:r w:rsidR="00A41FC0" w:rsidRPr="00A41FC0">
        <w:t xml:space="preserve">Sandycroft, Clwyd, </w:t>
      </w:r>
      <w:r w:rsidR="00A41FC0">
        <w:t xml:space="preserve">CH5 2QE, </w:t>
      </w:r>
      <w:r w:rsidR="00A41FC0" w:rsidRPr="00A41FC0">
        <w:t>UK</w:t>
      </w:r>
    </w:p>
    <w:p w14:paraId="04B319EE" w14:textId="6D5FB384" w:rsidR="00600535" w:rsidRPr="00314DE3" w:rsidRDefault="00D441FF" w:rsidP="00A41FC0">
      <w:pPr>
        <w:pStyle w:val="CETemail"/>
      </w:pPr>
      <w:r w:rsidRPr="00314DE3">
        <w:t>*</w:t>
      </w:r>
      <w:r w:rsidR="00B57E6F" w:rsidRPr="00314DE3">
        <w:t>c</w:t>
      </w:r>
      <w:r w:rsidRPr="00314DE3">
        <w:t>esstk</w:t>
      </w:r>
      <w:r w:rsidR="00B57E6F" w:rsidRPr="00314DE3">
        <w:t>@</w:t>
      </w:r>
      <w:r w:rsidRPr="00314DE3">
        <w:t>bath</w:t>
      </w:r>
      <w:r w:rsidR="00B57E6F" w:rsidRPr="00314DE3">
        <w:t>.</w:t>
      </w:r>
      <w:r w:rsidRPr="00314DE3">
        <w:t>ac.uk</w:t>
      </w:r>
      <w:bookmarkStart w:id="0" w:name="_Hlk495475023"/>
    </w:p>
    <w:p w14:paraId="1ED4D3A5" w14:textId="54EA7A27" w:rsidR="003B4206" w:rsidRDefault="003B4206" w:rsidP="000A7D01">
      <w:pPr>
        <w:pStyle w:val="CETnumberingbullets"/>
        <w:numPr>
          <w:ilvl w:val="0"/>
          <w:numId w:val="0"/>
        </w:numPr>
        <w:jc w:val="both"/>
      </w:pPr>
      <w:r w:rsidRPr="00A61A1A">
        <w:t>T</w:t>
      </w:r>
      <w:r w:rsidR="00A41FC0" w:rsidRPr="00A61A1A">
        <w:t xml:space="preserve">here is </w:t>
      </w:r>
      <w:r w:rsidRPr="00A61A1A">
        <w:t>much</w:t>
      </w:r>
      <w:r w:rsidR="00A41FC0" w:rsidRPr="00A61A1A">
        <w:t xml:space="preserve"> interest in the production of energy from waste </w:t>
      </w:r>
      <w:r w:rsidR="00A032D3" w:rsidRPr="00A61A1A">
        <w:t>via</w:t>
      </w:r>
      <w:r w:rsidR="00A41FC0" w:rsidRPr="00A61A1A">
        <w:t xml:space="preserve"> gasification to produce a Syngas/Producer gas stream, containing CO, H</w:t>
      </w:r>
      <w:r w:rsidR="00A41FC0" w:rsidRPr="00A61A1A">
        <w:rPr>
          <w:vertAlign w:val="subscript"/>
        </w:rPr>
        <w:t>2</w:t>
      </w:r>
      <w:r w:rsidR="00A41FC0" w:rsidRPr="00A61A1A">
        <w:t>, CO</w:t>
      </w:r>
      <w:r w:rsidR="00A41FC0" w:rsidRPr="00A61A1A">
        <w:rPr>
          <w:vertAlign w:val="subscript"/>
        </w:rPr>
        <w:t>2</w:t>
      </w:r>
      <w:r w:rsidR="00A41FC0" w:rsidRPr="00A61A1A">
        <w:t>, CH</w:t>
      </w:r>
      <w:r w:rsidR="00A41FC0" w:rsidRPr="00A61A1A">
        <w:rPr>
          <w:vertAlign w:val="subscript"/>
        </w:rPr>
        <w:t>4</w:t>
      </w:r>
      <w:r w:rsidR="00A41FC0" w:rsidRPr="00A61A1A">
        <w:t>, H</w:t>
      </w:r>
      <w:r w:rsidR="00A41FC0" w:rsidRPr="00A61A1A">
        <w:rPr>
          <w:vertAlign w:val="subscript"/>
        </w:rPr>
        <w:t>2</w:t>
      </w:r>
      <w:r w:rsidR="00A41FC0" w:rsidRPr="00A61A1A">
        <w:t>O</w:t>
      </w:r>
      <w:r w:rsidR="00590A26">
        <w:t>,</w:t>
      </w:r>
      <w:r w:rsidR="00A41FC0" w:rsidRPr="00A61A1A">
        <w:t xml:space="preserve"> and N</w:t>
      </w:r>
      <w:r w:rsidR="00A41FC0" w:rsidRPr="00A61A1A">
        <w:rPr>
          <w:vertAlign w:val="subscript"/>
        </w:rPr>
        <w:t>2</w:t>
      </w:r>
      <w:r w:rsidR="00A41FC0" w:rsidRPr="00A61A1A">
        <w:t>. From such a stream, H</w:t>
      </w:r>
      <w:r w:rsidR="00A41FC0" w:rsidRPr="00A61A1A">
        <w:rPr>
          <w:vertAlign w:val="subscript"/>
        </w:rPr>
        <w:t>2</w:t>
      </w:r>
      <w:r w:rsidR="00A41FC0" w:rsidRPr="00A61A1A">
        <w:t xml:space="preserve"> could be separated creating a </w:t>
      </w:r>
      <w:r w:rsidR="00A41FC0" w:rsidRPr="00A41FC0">
        <w:t xml:space="preserve">clean fuel to act as an energy vector. </w:t>
      </w:r>
      <w:r w:rsidR="005525C1">
        <w:t xml:space="preserve">The generation of Syngas from natural </w:t>
      </w:r>
      <w:r w:rsidR="005525C1" w:rsidRPr="008C0C25">
        <w:t>gas</w:t>
      </w:r>
      <w:r w:rsidR="00A032D3" w:rsidRPr="008C0C25">
        <w:t xml:space="preserve"> via Steam</w:t>
      </w:r>
      <w:r w:rsidR="00A032D3">
        <w:t xml:space="preserve"> Methane Reforming</w:t>
      </w:r>
      <w:r w:rsidR="005525C1">
        <w:t xml:space="preserve"> and the application of pressure swing adsorption (PSA) to separate hydrogen from </w:t>
      </w:r>
      <w:r w:rsidR="00A032D3">
        <w:t xml:space="preserve">such </w:t>
      </w:r>
      <w:r w:rsidR="005525C1">
        <w:t>gas is well known</w:t>
      </w:r>
      <w:r>
        <w:t xml:space="preserve">. </w:t>
      </w:r>
      <w:r w:rsidR="0037165D">
        <w:t xml:space="preserve">Unfortunately, </w:t>
      </w:r>
      <w:r w:rsidR="005525C1">
        <w:t xml:space="preserve">it was </w:t>
      </w:r>
      <w:r w:rsidR="00A41FC0" w:rsidRPr="00A41FC0">
        <w:t xml:space="preserve">difficult to find a supplier of PSA equipment, who would on reasonable terms: (a) engage with R&amp;D trials at a much smaller scale; (b) design for lower operating pressures; </w:t>
      </w:r>
      <w:r w:rsidR="00E54EE3">
        <w:t xml:space="preserve">and </w:t>
      </w:r>
      <w:r w:rsidR="00A41FC0" w:rsidRPr="00A41FC0">
        <w:t>(c) perform trials with real Syngas from waste</w:t>
      </w:r>
      <w:r>
        <w:t>, which will contain contaminants</w:t>
      </w:r>
      <w:r w:rsidR="0037165D">
        <w:t xml:space="preserve">. Therefore, </w:t>
      </w:r>
      <w:r w:rsidR="00A41FC0" w:rsidRPr="00A41FC0">
        <w:t>an in-house design</w:t>
      </w:r>
      <w:r w:rsidR="0037165D">
        <w:t>ed</w:t>
      </w:r>
      <w:r w:rsidR="00A41FC0" w:rsidRPr="00A41FC0">
        <w:t xml:space="preserve"> PSA</w:t>
      </w:r>
      <w:r w:rsidR="0037165D">
        <w:t xml:space="preserve"> was developed as</w:t>
      </w:r>
      <w:r w:rsidR="00B770F1">
        <w:t xml:space="preserve"> described in this study.</w:t>
      </w:r>
      <w:r>
        <w:t xml:space="preserve"> </w:t>
      </w:r>
      <w:r w:rsidR="0037165D">
        <w:t>Since, i</w:t>
      </w:r>
      <w:r w:rsidR="00A032D3" w:rsidRPr="00A032D3">
        <w:t xml:space="preserve">n the waste-to-energy industry, </w:t>
      </w:r>
      <w:r>
        <w:t xml:space="preserve">a very </w:t>
      </w:r>
      <w:r w:rsidR="00A032D3" w:rsidRPr="00A032D3">
        <w:t>high purity ‘fuel-cell’ grade of H</w:t>
      </w:r>
      <w:r w:rsidR="00A032D3" w:rsidRPr="00A032D3">
        <w:rPr>
          <w:vertAlign w:val="subscript"/>
        </w:rPr>
        <w:t>2</w:t>
      </w:r>
      <w:r w:rsidR="00A032D3" w:rsidRPr="00A032D3">
        <w:t xml:space="preserve"> is not </w:t>
      </w:r>
      <w:r w:rsidR="00E54EE3">
        <w:t>essential</w:t>
      </w:r>
      <w:r w:rsidR="00A032D3" w:rsidRPr="00A032D3">
        <w:t xml:space="preserve">, </w:t>
      </w:r>
      <w:r w:rsidR="0037165D">
        <w:t>as well as</w:t>
      </w:r>
      <w:r w:rsidR="0037165D" w:rsidRPr="00A032D3">
        <w:t xml:space="preserve"> </w:t>
      </w:r>
      <w:r w:rsidR="00A032D3" w:rsidRPr="00A032D3">
        <w:t xml:space="preserve">for many </w:t>
      </w:r>
      <w:r>
        <w:t xml:space="preserve">‘fuel-switch’ </w:t>
      </w:r>
      <w:r w:rsidR="00A032D3" w:rsidRPr="00A032D3">
        <w:t>applications</w:t>
      </w:r>
      <w:r w:rsidR="0037165D">
        <w:t xml:space="preserve">, </w:t>
      </w:r>
      <w:r w:rsidR="00590A26">
        <w:t>an</w:t>
      </w:r>
      <w:r w:rsidR="00590A26" w:rsidRPr="00A032D3">
        <w:t xml:space="preserve"> </w:t>
      </w:r>
      <w:r w:rsidR="00A032D3" w:rsidRPr="00A032D3">
        <w:t>H</w:t>
      </w:r>
      <w:r w:rsidR="00A032D3" w:rsidRPr="00A032D3">
        <w:rPr>
          <w:vertAlign w:val="subscript"/>
        </w:rPr>
        <w:t>2</w:t>
      </w:r>
      <w:r w:rsidR="00A032D3" w:rsidRPr="00A032D3">
        <w:t xml:space="preserve"> purity </w:t>
      </w:r>
      <w:r w:rsidR="00590A26">
        <w:t xml:space="preserve">of </w:t>
      </w:r>
      <w:r w:rsidR="00A032D3" w:rsidRPr="00A032D3">
        <w:t xml:space="preserve">~95 vol% is </w:t>
      </w:r>
      <w:r w:rsidR="00641031">
        <w:t>considered acceptable</w:t>
      </w:r>
      <w:r w:rsidR="00A032D3" w:rsidRPr="00A032D3">
        <w:t>.</w:t>
      </w:r>
      <w:r w:rsidR="00A032D3">
        <w:t xml:space="preserve"> T</w:t>
      </w:r>
      <w:r w:rsidR="00B770F1">
        <w:t xml:space="preserve">rials </w:t>
      </w:r>
      <w:r w:rsidR="00A032D3">
        <w:t xml:space="preserve">were initially performed in </w:t>
      </w:r>
      <w:r w:rsidR="00A032D3" w:rsidRPr="00A41FC0">
        <w:t>a long Single-Bed PSA</w:t>
      </w:r>
      <w:r w:rsidR="00A032D3">
        <w:t xml:space="preserve"> </w:t>
      </w:r>
      <w:r w:rsidR="00A032D3" w:rsidRPr="00A41FC0">
        <w:t>(52 mm diameter; 8 m long)</w:t>
      </w:r>
      <w:r w:rsidR="00A032D3">
        <w:t xml:space="preserve">. </w:t>
      </w:r>
      <w:r>
        <w:t>Starting with</w:t>
      </w:r>
      <w:r w:rsidR="00B770F1">
        <w:t xml:space="preserve"> a synthetic syngas mixture</w:t>
      </w:r>
      <w:r w:rsidR="00374B5B">
        <w:t>,</w:t>
      </w:r>
      <w:r w:rsidR="00B770F1">
        <w:t xml:space="preserve"> </w:t>
      </w:r>
      <w:r w:rsidR="00A032D3">
        <w:t>it was</w:t>
      </w:r>
      <w:r w:rsidR="00B770F1">
        <w:t xml:space="preserve"> </w:t>
      </w:r>
      <w:r w:rsidR="00A41FC0" w:rsidRPr="00A41FC0">
        <w:t xml:space="preserve">confirmed that </w:t>
      </w:r>
      <w:bookmarkStart w:id="1" w:name="_Hlk128412163"/>
      <w:r w:rsidR="00A41FC0" w:rsidRPr="00A41FC0">
        <w:t>H</w:t>
      </w:r>
      <w:r w:rsidR="00A41FC0" w:rsidRPr="00B770F1">
        <w:rPr>
          <w:vertAlign w:val="subscript"/>
        </w:rPr>
        <w:t>2</w:t>
      </w:r>
      <w:r w:rsidR="00A41FC0" w:rsidRPr="00A41FC0">
        <w:t xml:space="preserve"> purity &gt;90 vol% </w:t>
      </w:r>
      <w:bookmarkEnd w:id="1"/>
      <w:r w:rsidR="00A41FC0" w:rsidRPr="00A41FC0">
        <w:t xml:space="preserve">could easily be achieved. Then the design was </w:t>
      </w:r>
      <w:r w:rsidR="00590A26">
        <w:t>scaled up</w:t>
      </w:r>
      <w:r w:rsidR="00A41FC0" w:rsidRPr="00A41FC0">
        <w:t xml:space="preserve"> to a shorter but larger diameter Twin-Bed PSA</w:t>
      </w:r>
      <w:r w:rsidR="00A032D3">
        <w:t xml:space="preserve"> system</w:t>
      </w:r>
      <w:r w:rsidR="00A41FC0" w:rsidRPr="00A41FC0">
        <w:t xml:space="preserve"> (</w:t>
      </w:r>
      <w:r w:rsidR="00A032D3">
        <w:t xml:space="preserve">bed diameter: </w:t>
      </w:r>
      <w:r w:rsidR="00A41FC0" w:rsidRPr="00A41FC0">
        <w:t>888</w:t>
      </w:r>
      <w:r w:rsidR="00A032D3">
        <w:t xml:space="preserve"> mm</w:t>
      </w:r>
      <w:r w:rsidR="00A41FC0" w:rsidRPr="00A41FC0">
        <w:t xml:space="preserve">; </w:t>
      </w:r>
      <w:r w:rsidR="00A032D3">
        <w:t>length</w:t>
      </w:r>
      <w:r w:rsidR="00A41FC0" w:rsidRPr="00A41FC0">
        <w:t>1.5 m)</w:t>
      </w:r>
      <w:r w:rsidR="00B770F1">
        <w:t xml:space="preserve">, </w:t>
      </w:r>
      <w:r w:rsidR="0037165D">
        <w:t xml:space="preserve">in which an </w:t>
      </w:r>
      <w:r w:rsidR="0037165D" w:rsidRPr="00A41FC0">
        <w:t>H</w:t>
      </w:r>
      <w:r w:rsidR="0037165D" w:rsidRPr="00B770F1">
        <w:rPr>
          <w:vertAlign w:val="subscript"/>
        </w:rPr>
        <w:t>2</w:t>
      </w:r>
      <w:r w:rsidR="0037165D" w:rsidRPr="00A41FC0">
        <w:t xml:space="preserve"> purity &gt;9</w:t>
      </w:r>
      <w:r w:rsidR="0037165D">
        <w:t>5</w:t>
      </w:r>
      <w:r w:rsidR="0037165D" w:rsidRPr="00A41FC0">
        <w:t xml:space="preserve"> vol%</w:t>
      </w:r>
      <w:r w:rsidR="0037165D">
        <w:t xml:space="preserve"> was achieved</w:t>
      </w:r>
      <w:r w:rsidR="00A032D3">
        <w:t xml:space="preserve"> </w:t>
      </w:r>
      <w:r w:rsidR="00B770F1">
        <w:t xml:space="preserve">using </w:t>
      </w:r>
      <w:r w:rsidR="0037165D">
        <w:t>a</w:t>
      </w:r>
      <w:r w:rsidR="00B770F1">
        <w:t xml:space="preserve"> real Syngas from a waste</w:t>
      </w:r>
      <w:r w:rsidR="00590A26">
        <w:t>-to-energy</w:t>
      </w:r>
      <w:r w:rsidR="00B770F1">
        <w:t xml:space="preserve"> gasifier (design output: 500 Nm3/h of Syngas)</w:t>
      </w:r>
      <w:r w:rsidR="00A41FC0" w:rsidRPr="00A41FC0">
        <w:t xml:space="preserve">. </w:t>
      </w:r>
    </w:p>
    <w:bookmarkEnd w:id="0"/>
    <w:p w14:paraId="476B2F2E" w14:textId="77777777" w:rsidR="00600535" w:rsidRPr="00B57B36" w:rsidRDefault="00600535" w:rsidP="00600535">
      <w:pPr>
        <w:pStyle w:val="CETHeading1"/>
        <w:rPr>
          <w:lang w:val="en-GB"/>
        </w:rPr>
      </w:pPr>
      <w:r w:rsidRPr="00B57B36">
        <w:rPr>
          <w:lang w:val="en-GB"/>
        </w:rPr>
        <w:t>Introduction</w:t>
      </w:r>
    </w:p>
    <w:p w14:paraId="02E8AB56" w14:textId="547175E9" w:rsidR="00AD4C56" w:rsidRPr="00AD4C56" w:rsidRDefault="00AD4C56" w:rsidP="00AD4C56">
      <w:pPr>
        <w:pStyle w:val="CETBodytext"/>
        <w:rPr>
          <w:lang w:val="en-GB"/>
        </w:rPr>
      </w:pPr>
      <w:r w:rsidRPr="00AD4C56">
        <w:rPr>
          <w:lang w:val="en-GB"/>
        </w:rPr>
        <w:t xml:space="preserve">The UK Government is committed to reducing carbon dioxide emissions, and the transition to the use of hydrogen as a fuel is seen as one of the many steps which could be taken. However, to be carbon neutral, hydrogen not only has to be produced in a </w:t>
      </w:r>
      <w:r w:rsidR="00641031">
        <w:rPr>
          <w:lang w:val="en-GB"/>
        </w:rPr>
        <w:t xml:space="preserve">way for </w:t>
      </w:r>
      <w:r w:rsidRPr="00AD4C56">
        <w:rPr>
          <w:lang w:val="en-GB"/>
        </w:rPr>
        <w:t>which CO</w:t>
      </w:r>
      <w:r w:rsidRPr="001560C2">
        <w:rPr>
          <w:vertAlign w:val="subscript"/>
          <w:lang w:val="en-GB"/>
        </w:rPr>
        <w:t>2</w:t>
      </w:r>
      <w:r w:rsidRPr="00AD4C56">
        <w:rPr>
          <w:lang w:val="en-GB"/>
        </w:rPr>
        <w:t xml:space="preserve"> is either not created, or if it is, then it is sequestrated. Also, the infrastructure needs to be in place to supply the H</w:t>
      </w:r>
      <w:r w:rsidRPr="001560C2">
        <w:rPr>
          <w:vertAlign w:val="subscript"/>
          <w:lang w:val="en-GB"/>
        </w:rPr>
        <w:t>2</w:t>
      </w:r>
      <w:r w:rsidRPr="00AD4C56">
        <w:rPr>
          <w:lang w:val="en-GB"/>
        </w:rPr>
        <w:t xml:space="preserve"> in a form and level of purity </w:t>
      </w:r>
      <w:r w:rsidR="00641031">
        <w:rPr>
          <w:lang w:val="en-GB"/>
        </w:rPr>
        <w:t>that</w:t>
      </w:r>
      <w:r w:rsidR="00641031" w:rsidRPr="00AD4C56">
        <w:rPr>
          <w:lang w:val="en-GB"/>
        </w:rPr>
        <w:t xml:space="preserve"> </w:t>
      </w:r>
      <w:r w:rsidRPr="00AD4C56">
        <w:rPr>
          <w:lang w:val="en-GB"/>
        </w:rPr>
        <w:t xml:space="preserve">can be utilized by an </w:t>
      </w:r>
      <w:r w:rsidR="00641031">
        <w:rPr>
          <w:lang w:val="en-GB"/>
        </w:rPr>
        <w:t>end user</w:t>
      </w:r>
      <w:r w:rsidRPr="00AD4C56">
        <w:rPr>
          <w:lang w:val="en-GB"/>
        </w:rPr>
        <w:t>. Different labels have been assigned to hydrogen</w:t>
      </w:r>
      <w:r w:rsidR="00641031">
        <w:rPr>
          <w:lang w:val="en-GB"/>
        </w:rPr>
        <w:t xml:space="preserve"> (</w:t>
      </w:r>
      <w:r w:rsidRPr="00AD4C56">
        <w:rPr>
          <w:lang w:val="en-GB"/>
        </w:rPr>
        <w:t>grey, blue</w:t>
      </w:r>
      <w:r w:rsidR="00641031">
        <w:rPr>
          <w:lang w:val="en-GB"/>
        </w:rPr>
        <w:t>,</w:t>
      </w:r>
      <w:r w:rsidRPr="00AD4C56">
        <w:rPr>
          <w:lang w:val="en-GB"/>
        </w:rPr>
        <w:t xml:space="preserve"> and green</w:t>
      </w:r>
      <w:r w:rsidR="00641031">
        <w:rPr>
          <w:lang w:val="en-GB"/>
        </w:rPr>
        <w:t>)</w:t>
      </w:r>
      <w:r w:rsidRPr="00AD4C56">
        <w:rPr>
          <w:lang w:val="en-GB"/>
        </w:rPr>
        <w:t xml:space="preserve"> depending on how it is produced. It is well known (</w:t>
      </w:r>
      <w:r w:rsidR="00641031" w:rsidRPr="00AD4C56">
        <w:rPr>
          <w:lang w:val="en-GB"/>
        </w:rPr>
        <w:t>e.g.,</w:t>
      </w:r>
      <w:r w:rsidRPr="00AD4C56">
        <w:rPr>
          <w:lang w:val="en-GB"/>
        </w:rPr>
        <w:t xml:space="preserve"> </w:t>
      </w:r>
      <w:proofErr w:type="spellStart"/>
      <w:r w:rsidRPr="00AD4C56">
        <w:rPr>
          <w:lang w:val="en-GB"/>
        </w:rPr>
        <w:t>Rostrup</w:t>
      </w:r>
      <w:proofErr w:type="spellEnd"/>
      <w:r w:rsidRPr="00AD4C56">
        <w:rPr>
          <w:lang w:val="en-GB"/>
        </w:rPr>
        <w:t>-Nielsen and Christiansen, 2011) that H</w:t>
      </w:r>
      <w:r w:rsidRPr="001560C2">
        <w:rPr>
          <w:vertAlign w:val="subscript"/>
          <w:lang w:val="en-GB"/>
        </w:rPr>
        <w:t>2</w:t>
      </w:r>
      <w:r w:rsidRPr="00AD4C56">
        <w:rPr>
          <w:lang w:val="en-GB"/>
        </w:rPr>
        <w:t xml:space="preserve"> on an industrial scale, is produced via Steam Methane Reforming</w:t>
      </w:r>
      <w:r w:rsidR="001560C2">
        <w:rPr>
          <w:lang w:val="en-GB"/>
        </w:rPr>
        <w:t xml:space="preserve"> (SMR)</w:t>
      </w:r>
      <w:r w:rsidRPr="00AD4C56">
        <w:rPr>
          <w:lang w:val="en-GB"/>
        </w:rPr>
        <w:t xml:space="preserve">, using </w:t>
      </w:r>
      <w:r w:rsidR="00641031" w:rsidRPr="00AD4C56">
        <w:rPr>
          <w:lang w:val="en-GB"/>
        </w:rPr>
        <w:t>hydrocarbon-based</w:t>
      </w:r>
      <w:r w:rsidRPr="00AD4C56">
        <w:rPr>
          <w:lang w:val="en-GB"/>
        </w:rPr>
        <w:t xml:space="preserve"> feedstocks, such as natural gas. Such hydrogen, which is produced from </w:t>
      </w:r>
      <w:r w:rsidR="00641031">
        <w:rPr>
          <w:lang w:val="en-GB"/>
        </w:rPr>
        <w:t>fossil-based</w:t>
      </w:r>
      <w:r w:rsidRPr="00AD4C56">
        <w:rPr>
          <w:lang w:val="en-GB"/>
        </w:rPr>
        <w:t xml:space="preserve"> fuels, without any CO</w:t>
      </w:r>
      <w:r w:rsidRPr="001560C2">
        <w:rPr>
          <w:vertAlign w:val="subscript"/>
          <w:lang w:val="en-GB"/>
        </w:rPr>
        <w:t>2</w:t>
      </w:r>
      <w:r w:rsidRPr="00AD4C56">
        <w:rPr>
          <w:lang w:val="en-GB"/>
        </w:rPr>
        <w:t xml:space="preserve"> capture/sequestration is </w:t>
      </w:r>
      <w:r w:rsidR="00641031">
        <w:rPr>
          <w:lang w:val="en-GB"/>
        </w:rPr>
        <w:t xml:space="preserve">currently </w:t>
      </w:r>
      <w:r w:rsidRPr="00AD4C56">
        <w:rPr>
          <w:lang w:val="en-GB"/>
        </w:rPr>
        <w:t xml:space="preserve">described as ‘grey’ hydrogen. At the other end of the scale, hydrogen produced by electricity generated </w:t>
      </w:r>
      <w:r w:rsidR="00641031">
        <w:rPr>
          <w:lang w:val="en-GB"/>
        </w:rPr>
        <w:t>by renewable energy</w:t>
      </w:r>
      <w:r w:rsidRPr="00AD4C56">
        <w:rPr>
          <w:lang w:val="en-GB"/>
        </w:rPr>
        <w:t xml:space="preserve"> is described as ‘green’ hydrogen, because </w:t>
      </w:r>
      <w:r w:rsidR="00641031">
        <w:rPr>
          <w:lang w:val="en-GB"/>
        </w:rPr>
        <w:t>fossil-based</w:t>
      </w:r>
      <w:r w:rsidRPr="00AD4C56">
        <w:rPr>
          <w:lang w:val="en-GB"/>
        </w:rPr>
        <w:t xml:space="preserve"> fuels are not </w:t>
      </w:r>
      <w:r w:rsidR="00641031" w:rsidRPr="00AD4C56">
        <w:rPr>
          <w:lang w:val="en-GB"/>
        </w:rPr>
        <w:t>used,</w:t>
      </w:r>
      <w:r w:rsidRPr="00AD4C56">
        <w:rPr>
          <w:lang w:val="en-GB"/>
        </w:rPr>
        <w:t xml:space="preserve"> and CO</w:t>
      </w:r>
      <w:r w:rsidRPr="001560C2">
        <w:rPr>
          <w:vertAlign w:val="subscript"/>
          <w:lang w:val="en-GB"/>
        </w:rPr>
        <w:t>2</w:t>
      </w:r>
      <w:r w:rsidRPr="00AD4C56">
        <w:rPr>
          <w:lang w:val="en-GB"/>
        </w:rPr>
        <w:t xml:space="preserve"> is not produced in that process.</w:t>
      </w:r>
    </w:p>
    <w:p w14:paraId="3301C561" w14:textId="77777777" w:rsidR="00AD4C56" w:rsidRPr="00AD4C56" w:rsidRDefault="00AD4C56" w:rsidP="00AD4C56">
      <w:pPr>
        <w:pStyle w:val="CETBodytext"/>
        <w:rPr>
          <w:lang w:val="en-GB"/>
        </w:rPr>
      </w:pPr>
    </w:p>
    <w:p w14:paraId="4D38A608" w14:textId="0F1CA35F" w:rsidR="00E02941" w:rsidRDefault="00AD4C56" w:rsidP="00AD4C56">
      <w:pPr>
        <w:pStyle w:val="CETBodytext"/>
        <w:rPr>
          <w:lang w:val="en-GB"/>
        </w:rPr>
      </w:pPr>
      <w:r w:rsidRPr="00AD4C56">
        <w:rPr>
          <w:lang w:val="en-GB"/>
        </w:rPr>
        <w:t>In the UK, the motivation to produce energy from waste</w:t>
      </w:r>
      <w:r w:rsidR="00641031" w:rsidRPr="00641031">
        <w:rPr>
          <w:lang w:val="en-GB"/>
        </w:rPr>
        <w:t xml:space="preserve"> arises from the need to reduce the amount of waste sent to landfills</w:t>
      </w:r>
      <w:r w:rsidR="00CD63EC">
        <w:rPr>
          <w:lang w:val="en-GB"/>
        </w:rPr>
        <w:t>.</w:t>
      </w:r>
      <w:r w:rsidRPr="00AD4C56">
        <w:rPr>
          <w:lang w:val="en-GB"/>
        </w:rPr>
        <w:t xml:space="preserve"> </w:t>
      </w:r>
      <w:r w:rsidR="00CD63EC">
        <w:rPr>
          <w:lang w:val="en-GB"/>
        </w:rPr>
        <w:t>T</w:t>
      </w:r>
      <w:r w:rsidRPr="00AD4C56">
        <w:rPr>
          <w:lang w:val="en-GB"/>
        </w:rPr>
        <w:t>here</w:t>
      </w:r>
      <w:r w:rsidR="00CD63EC">
        <w:rPr>
          <w:lang w:val="en-GB"/>
        </w:rPr>
        <w:t>,</w:t>
      </w:r>
      <w:r w:rsidRPr="00AD4C56">
        <w:rPr>
          <w:lang w:val="en-GB"/>
        </w:rPr>
        <w:t xml:space="preserve"> the carbon constituent in the waste would degrade over time and produce CO</w:t>
      </w:r>
      <w:r w:rsidRPr="001560C2">
        <w:rPr>
          <w:vertAlign w:val="subscript"/>
          <w:lang w:val="en-GB"/>
        </w:rPr>
        <w:t>2</w:t>
      </w:r>
      <w:r w:rsidRPr="00AD4C56">
        <w:rPr>
          <w:lang w:val="en-GB"/>
        </w:rPr>
        <w:t xml:space="preserve"> and CH</w:t>
      </w:r>
      <w:r w:rsidRPr="001560C2">
        <w:rPr>
          <w:vertAlign w:val="subscript"/>
          <w:lang w:val="en-GB"/>
        </w:rPr>
        <w:t>4</w:t>
      </w:r>
      <w:r w:rsidRPr="00AD4C56">
        <w:rPr>
          <w:lang w:val="en-GB"/>
        </w:rPr>
        <w:t xml:space="preserve"> emissions. By segregating the waste at a waste reception </w:t>
      </w:r>
      <w:proofErr w:type="spellStart"/>
      <w:r w:rsidR="00641031">
        <w:rPr>
          <w:lang w:val="en-GB"/>
        </w:rPr>
        <w:t>center</w:t>
      </w:r>
      <w:proofErr w:type="spellEnd"/>
      <w:r w:rsidRPr="00AD4C56">
        <w:rPr>
          <w:lang w:val="en-GB"/>
        </w:rPr>
        <w:t xml:space="preserve">, it can be turned into a product </w:t>
      </w:r>
      <w:r w:rsidR="00641031">
        <w:rPr>
          <w:lang w:val="en-GB"/>
        </w:rPr>
        <w:t>that</w:t>
      </w:r>
      <w:r w:rsidR="00641031" w:rsidRPr="00AD4C56">
        <w:rPr>
          <w:lang w:val="en-GB"/>
        </w:rPr>
        <w:t xml:space="preserve"> </w:t>
      </w:r>
      <w:r w:rsidRPr="00AD4C56">
        <w:rPr>
          <w:lang w:val="en-GB"/>
        </w:rPr>
        <w:t>has a high calorific value and could be used as fuel. Such material is known as a Refuse Derived Fuel (RDF)</w:t>
      </w:r>
      <w:r w:rsidR="00641031" w:rsidRPr="00641031">
        <w:rPr>
          <w:lang w:val="en-GB"/>
        </w:rPr>
        <w:t>, which can act as a feedstock to a gasification process, producing a gas stream containing</w:t>
      </w:r>
      <w:r w:rsidRPr="00AD4C56">
        <w:rPr>
          <w:lang w:val="en-GB"/>
        </w:rPr>
        <w:t xml:space="preserve"> CO, H</w:t>
      </w:r>
      <w:r w:rsidRPr="001560C2">
        <w:rPr>
          <w:vertAlign w:val="subscript"/>
          <w:lang w:val="en-GB"/>
        </w:rPr>
        <w:t>2</w:t>
      </w:r>
      <w:r w:rsidRPr="00AD4C56">
        <w:rPr>
          <w:lang w:val="en-GB"/>
        </w:rPr>
        <w:t>, CO</w:t>
      </w:r>
      <w:r w:rsidRPr="001560C2">
        <w:rPr>
          <w:vertAlign w:val="subscript"/>
          <w:lang w:val="en-GB"/>
        </w:rPr>
        <w:t>2</w:t>
      </w:r>
      <w:r w:rsidRPr="00AD4C56">
        <w:rPr>
          <w:lang w:val="en-GB"/>
        </w:rPr>
        <w:t>, CH</w:t>
      </w:r>
      <w:r w:rsidRPr="001560C2">
        <w:rPr>
          <w:vertAlign w:val="subscript"/>
          <w:lang w:val="en-GB"/>
        </w:rPr>
        <w:t>4</w:t>
      </w:r>
      <w:r w:rsidRPr="00AD4C56">
        <w:rPr>
          <w:lang w:val="en-GB"/>
        </w:rPr>
        <w:t>, H</w:t>
      </w:r>
      <w:r w:rsidRPr="001560C2">
        <w:rPr>
          <w:vertAlign w:val="subscript"/>
          <w:lang w:val="en-GB"/>
        </w:rPr>
        <w:t>2</w:t>
      </w:r>
      <w:r w:rsidRPr="00AD4C56">
        <w:rPr>
          <w:lang w:val="en-GB"/>
        </w:rPr>
        <w:t>O</w:t>
      </w:r>
      <w:r w:rsidR="00641031">
        <w:rPr>
          <w:lang w:val="en-GB"/>
        </w:rPr>
        <w:t>,</w:t>
      </w:r>
      <w:r w:rsidRPr="00AD4C56">
        <w:rPr>
          <w:lang w:val="en-GB"/>
        </w:rPr>
        <w:t xml:space="preserve"> and N</w:t>
      </w:r>
      <w:r w:rsidRPr="001560C2">
        <w:rPr>
          <w:vertAlign w:val="subscript"/>
          <w:lang w:val="en-GB"/>
        </w:rPr>
        <w:t>2</w:t>
      </w:r>
      <w:r w:rsidRPr="00AD4C56">
        <w:rPr>
          <w:lang w:val="en-GB"/>
        </w:rPr>
        <w:t>. Such a gas stream is often called a Syngas/Producer Gas, depending on the terminology used in a particular industry/company - in this paper</w:t>
      </w:r>
      <w:r w:rsidR="00641031">
        <w:rPr>
          <w:lang w:val="en-GB"/>
        </w:rPr>
        <w:t>,</w:t>
      </w:r>
      <w:r w:rsidRPr="00AD4C56">
        <w:rPr>
          <w:lang w:val="en-GB"/>
        </w:rPr>
        <w:t xml:space="preserve"> the term Syngas will be used.</w:t>
      </w:r>
      <w:r w:rsidR="004B5FBC">
        <w:rPr>
          <w:lang w:val="en-GB"/>
        </w:rPr>
        <w:t xml:space="preserve"> Descriptions of gasifiers and the chemistry of the process are available in the literature (e.g.  </w:t>
      </w:r>
      <w:proofErr w:type="spellStart"/>
      <w:r w:rsidR="004B5FBC">
        <w:rPr>
          <w:lang w:val="en-GB"/>
        </w:rPr>
        <w:t>Higman</w:t>
      </w:r>
      <w:proofErr w:type="spellEnd"/>
      <w:r w:rsidR="004B5FBC">
        <w:rPr>
          <w:lang w:val="en-GB"/>
        </w:rPr>
        <w:t xml:space="preserve"> and van der </w:t>
      </w:r>
      <w:proofErr w:type="spellStart"/>
      <w:r w:rsidR="004B5FBC">
        <w:rPr>
          <w:lang w:val="en-GB"/>
        </w:rPr>
        <w:t>Burgt</w:t>
      </w:r>
      <w:proofErr w:type="spellEnd"/>
      <w:r w:rsidR="004B5FBC">
        <w:rPr>
          <w:lang w:val="en-GB"/>
        </w:rPr>
        <w:t xml:space="preserve">, 2003; </w:t>
      </w:r>
      <w:proofErr w:type="spellStart"/>
      <w:r w:rsidR="004B5FBC">
        <w:rPr>
          <w:lang w:val="en-GB"/>
        </w:rPr>
        <w:t>Knoef</w:t>
      </w:r>
      <w:proofErr w:type="spellEnd"/>
      <w:r w:rsidR="004B5FBC">
        <w:rPr>
          <w:lang w:val="en-GB"/>
        </w:rPr>
        <w:t>, 2005), and in this paper</w:t>
      </w:r>
      <w:r w:rsidR="00641031">
        <w:rPr>
          <w:lang w:val="en-GB"/>
        </w:rPr>
        <w:t>,</w:t>
      </w:r>
      <w:r w:rsidR="004B5FBC">
        <w:rPr>
          <w:lang w:val="en-GB"/>
        </w:rPr>
        <w:t xml:space="preserve"> </w:t>
      </w:r>
      <w:r w:rsidR="004B5FBC">
        <w:rPr>
          <w:lang w:val="en-GB"/>
        </w:rPr>
        <w:lastRenderedPageBreak/>
        <w:t>the techniques are applied to a Syngas produced from a down-draft gasifier operating at a negative pressure</w:t>
      </w:r>
      <w:r w:rsidR="00912106">
        <w:rPr>
          <w:lang w:val="en-GB"/>
        </w:rPr>
        <w:t xml:space="preserve"> using RDF and air as a feed streams</w:t>
      </w:r>
      <w:r w:rsidR="004B5FBC">
        <w:rPr>
          <w:lang w:val="en-GB"/>
        </w:rPr>
        <w:t>.</w:t>
      </w:r>
      <w:r w:rsidR="00A61A1A" w:rsidRPr="00A61A1A">
        <w:t xml:space="preserve"> </w:t>
      </w:r>
      <w:r w:rsidR="00A61A1A" w:rsidRPr="00A61A1A">
        <w:rPr>
          <w:lang w:val="en-GB"/>
        </w:rPr>
        <w:t xml:space="preserve">From </w:t>
      </w:r>
      <w:r w:rsidR="00912106">
        <w:rPr>
          <w:lang w:val="en-GB"/>
        </w:rPr>
        <w:t xml:space="preserve">the Syngas the </w:t>
      </w:r>
      <w:r w:rsidR="00A61A1A" w:rsidRPr="00A61A1A">
        <w:rPr>
          <w:lang w:val="en-GB"/>
        </w:rPr>
        <w:t>H</w:t>
      </w:r>
      <w:r w:rsidR="00A61A1A" w:rsidRPr="00A61A1A">
        <w:rPr>
          <w:vertAlign w:val="subscript"/>
          <w:lang w:val="en-GB"/>
        </w:rPr>
        <w:t>2</w:t>
      </w:r>
      <w:r w:rsidR="00A61A1A" w:rsidRPr="00A61A1A">
        <w:rPr>
          <w:lang w:val="en-GB"/>
        </w:rPr>
        <w:t xml:space="preserve"> could be separated creating a clean fuel to act as an energy vector – an outline </w:t>
      </w:r>
      <w:r w:rsidR="00912106">
        <w:rPr>
          <w:lang w:val="en-GB"/>
        </w:rPr>
        <w:t xml:space="preserve">process </w:t>
      </w:r>
      <w:r w:rsidR="00A61A1A" w:rsidRPr="00A61A1A">
        <w:rPr>
          <w:lang w:val="en-GB"/>
        </w:rPr>
        <w:t>scheme is illustrated in Figure 1.</w:t>
      </w:r>
    </w:p>
    <w:p w14:paraId="52C0C6CF" w14:textId="0C58EEF2" w:rsidR="00E02941" w:rsidRDefault="00B801E5" w:rsidP="0040417A">
      <w:pPr>
        <w:pStyle w:val="CETBodytext"/>
        <w:jc w:val="center"/>
        <w:rPr>
          <w:lang w:val="en-GB"/>
        </w:rPr>
      </w:pPr>
      <w:r>
        <w:rPr>
          <w:noProof/>
        </w:rPr>
        <w:drawing>
          <wp:inline distT="0" distB="0" distL="0" distR="0" wp14:anchorId="4AD368E5" wp14:editId="4F993DC7">
            <wp:extent cx="5200650" cy="2925551"/>
            <wp:effectExtent l="0" t="0" r="0" b="825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14651" cy="2933427"/>
                    </a:xfrm>
                    <a:prstGeom prst="rect">
                      <a:avLst/>
                    </a:prstGeom>
                  </pic:spPr>
                </pic:pic>
              </a:graphicData>
            </a:graphic>
          </wp:inline>
        </w:drawing>
      </w:r>
    </w:p>
    <w:p w14:paraId="033A2374" w14:textId="62E65999" w:rsidR="00E02941" w:rsidRPr="005F1BA0" w:rsidRDefault="00E02941" w:rsidP="00AD4C56">
      <w:pPr>
        <w:pStyle w:val="CETBodytext"/>
        <w:rPr>
          <w:i/>
          <w:iCs/>
          <w:lang w:val="en-GB"/>
        </w:rPr>
      </w:pPr>
      <w:bookmarkStart w:id="2" w:name="_Hlk128574620"/>
      <w:r w:rsidRPr="00A61A1A">
        <w:rPr>
          <w:i/>
          <w:iCs/>
          <w:lang w:val="en-GB"/>
        </w:rPr>
        <w:t>Figure 1: Simplified schematic to illustrate the key unit operations</w:t>
      </w:r>
      <w:r w:rsidR="00A61A1A" w:rsidRPr="00A61A1A">
        <w:rPr>
          <w:i/>
          <w:iCs/>
          <w:lang w:val="en-GB"/>
        </w:rPr>
        <w:t xml:space="preserve"> and application of PSA to produce H</w:t>
      </w:r>
      <w:r w:rsidR="00A61A1A" w:rsidRPr="00A61A1A">
        <w:rPr>
          <w:i/>
          <w:iCs/>
          <w:vertAlign w:val="subscript"/>
          <w:lang w:val="en-GB"/>
        </w:rPr>
        <w:t>2</w:t>
      </w:r>
      <w:r w:rsidR="005F1BA0">
        <w:rPr>
          <w:i/>
          <w:iCs/>
          <w:lang w:val="en-GB"/>
        </w:rPr>
        <w:t>.</w:t>
      </w:r>
    </w:p>
    <w:bookmarkEnd w:id="2"/>
    <w:p w14:paraId="7F5EA78A" w14:textId="6D4E676B" w:rsidR="00E02941" w:rsidRDefault="00E02941" w:rsidP="00AD4C56">
      <w:pPr>
        <w:pStyle w:val="CETBodytext"/>
        <w:rPr>
          <w:lang w:val="en-GB"/>
        </w:rPr>
      </w:pPr>
    </w:p>
    <w:p w14:paraId="7D89377F" w14:textId="450FA46C" w:rsidR="00517934" w:rsidRDefault="00AD4C56" w:rsidP="00600535">
      <w:pPr>
        <w:pStyle w:val="CETBodytext"/>
        <w:rPr>
          <w:lang w:val="en-GB"/>
        </w:rPr>
      </w:pPr>
      <w:r w:rsidRPr="00AD4C56">
        <w:rPr>
          <w:lang w:val="en-GB"/>
        </w:rPr>
        <w:t xml:space="preserve">In the petrochemical sector, Syngas is already produced on a large scale, using </w:t>
      </w:r>
      <w:r w:rsidR="001560C2">
        <w:rPr>
          <w:lang w:val="en-GB"/>
        </w:rPr>
        <w:t xml:space="preserve">the </w:t>
      </w:r>
      <w:r w:rsidR="001560C2" w:rsidRPr="00AD4C56">
        <w:rPr>
          <w:lang w:val="en-GB"/>
        </w:rPr>
        <w:t>well-established</w:t>
      </w:r>
      <w:r w:rsidRPr="00AD4C56">
        <w:rPr>
          <w:lang w:val="en-GB"/>
        </w:rPr>
        <w:t xml:space="preserve"> S</w:t>
      </w:r>
      <w:r w:rsidR="001560C2">
        <w:rPr>
          <w:lang w:val="en-GB"/>
        </w:rPr>
        <w:t>M</w:t>
      </w:r>
      <w:r w:rsidRPr="00AD4C56">
        <w:rPr>
          <w:lang w:val="en-GB"/>
        </w:rPr>
        <w:t>R technology and the PSA process is often used to produce high purity H</w:t>
      </w:r>
      <w:r w:rsidRPr="001560C2">
        <w:rPr>
          <w:vertAlign w:val="subscript"/>
          <w:lang w:val="en-GB"/>
        </w:rPr>
        <w:t>2</w:t>
      </w:r>
      <w:r w:rsidRPr="00AD4C56">
        <w:rPr>
          <w:lang w:val="en-GB"/>
        </w:rPr>
        <w:t xml:space="preserve"> from that Syngas. That PSA technology is applied to a process which is at a very much larger operational scale than applications </w:t>
      </w:r>
      <w:r w:rsidR="001560C2">
        <w:rPr>
          <w:lang w:val="en-GB"/>
        </w:rPr>
        <w:t xml:space="preserve">considered </w:t>
      </w:r>
      <w:r w:rsidRPr="00AD4C56">
        <w:rPr>
          <w:lang w:val="en-GB"/>
        </w:rPr>
        <w:t xml:space="preserve">in </w:t>
      </w:r>
      <w:r w:rsidR="001560C2">
        <w:rPr>
          <w:lang w:val="en-GB"/>
        </w:rPr>
        <w:t xml:space="preserve">the </w:t>
      </w:r>
      <w:r w:rsidRPr="00AD4C56">
        <w:rPr>
          <w:lang w:val="en-GB"/>
        </w:rPr>
        <w:t>waste</w:t>
      </w:r>
      <w:r w:rsidR="001560C2">
        <w:rPr>
          <w:lang w:val="en-GB"/>
        </w:rPr>
        <w:t xml:space="preserve"> sector</w:t>
      </w:r>
      <w:r w:rsidRPr="00AD4C56">
        <w:rPr>
          <w:lang w:val="en-GB"/>
        </w:rPr>
        <w:t>. As it was difficult to find a supplier of</w:t>
      </w:r>
      <w:r w:rsidR="001560C2">
        <w:rPr>
          <w:lang w:val="en-GB"/>
        </w:rPr>
        <w:t xml:space="preserve"> </w:t>
      </w:r>
      <w:r w:rsidRPr="00AD4C56">
        <w:rPr>
          <w:lang w:val="en-GB"/>
        </w:rPr>
        <w:t xml:space="preserve">PSA equipment, who would on reasonable terms: (a) engage with </w:t>
      </w:r>
      <w:r w:rsidR="001560C2">
        <w:rPr>
          <w:lang w:val="en-GB"/>
        </w:rPr>
        <w:t xml:space="preserve">Research &amp; Development </w:t>
      </w:r>
      <w:r w:rsidRPr="00AD4C56">
        <w:rPr>
          <w:lang w:val="en-GB"/>
        </w:rPr>
        <w:t xml:space="preserve">trials at a much smaller scale; (b) design for lower operating pressures; </w:t>
      </w:r>
      <w:r w:rsidR="001560C2">
        <w:rPr>
          <w:lang w:val="en-GB"/>
        </w:rPr>
        <w:t xml:space="preserve">and </w:t>
      </w:r>
      <w:r w:rsidRPr="00AD4C56">
        <w:rPr>
          <w:lang w:val="en-GB"/>
        </w:rPr>
        <w:t>(c) perform trials with real Syngas (from waste) - it was decided to develop an in-house design of PSA</w:t>
      </w:r>
      <w:r w:rsidR="00912106">
        <w:rPr>
          <w:lang w:val="en-GB"/>
        </w:rPr>
        <w:t xml:space="preserve"> to separate H</w:t>
      </w:r>
      <w:r w:rsidR="00912106" w:rsidRPr="00912106">
        <w:rPr>
          <w:vertAlign w:val="subscript"/>
          <w:lang w:val="en-GB"/>
        </w:rPr>
        <w:t>2</w:t>
      </w:r>
      <w:r w:rsidR="00912106">
        <w:rPr>
          <w:lang w:val="en-GB"/>
        </w:rPr>
        <w:t xml:space="preserve"> from Syngas</w:t>
      </w:r>
      <w:r w:rsidRPr="00AD4C56">
        <w:rPr>
          <w:lang w:val="en-GB"/>
        </w:rPr>
        <w:t xml:space="preserve">. The PSA process consists of rapid pressure swings, over a prescribed cycle, with changes taking place at time intervals of ‘seconds to minutes’ – </w:t>
      </w:r>
      <w:r w:rsidR="001560C2">
        <w:rPr>
          <w:lang w:val="en-GB"/>
        </w:rPr>
        <w:t xml:space="preserve">and </w:t>
      </w:r>
      <w:r w:rsidRPr="00AD4C56">
        <w:rPr>
          <w:lang w:val="en-GB"/>
        </w:rPr>
        <w:t>this is adequately described in many papers and textbooks</w:t>
      </w:r>
      <w:r w:rsidR="001560C2">
        <w:rPr>
          <w:lang w:val="en-GB"/>
        </w:rPr>
        <w:t xml:space="preserve"> (</w:t>
      </w:r>
      <w:r w:rsidR="003A0381" w:rsidRPr="00AD4C56">
        <w:rPr>
          <w:lang w:val="en-GB"/>
        </w:rPr>
        <w:t>e.g.,</w:t>
      </w:r>
      <w:r w:rsidR="001560C2" w:rsidRPr="001560C2">
        <w:t xml:space="preserve"> </w:t>
      </w:r>
      <w:r w:rsidR="001560C2" w:rsidRPr="001560C2">
        <w:rPr>
          <w:lang w:val="en-GB"/>
        </w:rPr>
        <w:t>Crittenden</w:t>
      </w:r>
      <w:r w:rsidR="001560C2">
        <w:rPr>
          <w:lang w:val="en-GB"/>
        </w:rPr>
        <w:t xml:space="preserve"> and </w:t>
      </w:r>
      <w:r w:rsidR="001560C2" w:rsidRPr="001560C2">
        <w:rPr>
          <w:lang w:val="en-GB"/>
        </w:rPr>
        <w:t>Thomas</w:t>
      </w:r>
      <w:r w:rsidR="001560C2">
        <w:rPr>
          <w:lang w:val="en-GB"/>
        </w:rPr>
        <w:t xml:space="preserve">, </w:t>
      </w:r>
      <w:r w:rsidR="001560C2" w:rsidRPr="001560C2">
        <w:rPr>
          <w:lang w:val="en-GB"/>
        </w:rPr>
        <w:t>1998</w:t>
      </w:r>
      <w:r w:rsidR="001560C2">
        <w:rPr>
          <w:lang w:val="en-GB"/>
        </w:rPr>
        <w:t>)</w:t>
      </w:r>
      <w:r w:rsidRPr="00AD4C56">
        <w:rPr>
          <w:lang w:val="en-GB"/>
        </w:rPr>
        <w:t xml:space="preserve">. However, there is little information on design methodology, </w:t>
      </w:r>
      <w:r w:rsidR="001560C2">
        <w:rPr>
          <w:lang w:val="en-GB"/>
        </w:rPr>
        <w:t>an aspect</w:t>
      </w:r>
      <w:r w:rsidRPr="00AD4C56">
        <w:rPr>
          <w:lang w:val="en-GB"/>
        </w:rPr>
        <w:t xml:space="preserve"> </w:t>
      </w:r>
      <w:r w:rsidR="003A0381">
        <w:rPr>
          <w:lang w:val="en-GB"/>
        </w:rPr>
        <w:t>that</w:t>
      </w:r>
      <w:r w:rsidR="003A0381" w:rsidRPr="00AD4C56">
        <w:rPr>
          <w:lang w:val="en-GB"/>
        </w:rPr>
        <w:t xml:space="preserve"> </w:t>
      </w:r>
      <w:r w:rsidRPr="00AD4C56">
        <w:rPr>
          <w:lang w:val="en-GB"/>
        </w:rPr>
        <w:t>is considered proprietary</w:t>
      </w:r>
      <w:r w:rsidR="001560C2">
        <w:rPr>
          <w:lang w:val="en-GB"/>
        </w:rPr>
        <w:t>.</w:t>
      </w:r>
    </w:p>
    <w:p w14:paraId="1BF0D350" w14:textId="574636B2" w:rsidR="005964A3" w:rsidRDefault="005964A3" w:rsidP="00600535">
      <w:pPr>
        <w:pStyle w:val="CETBodytext"/>
        <w:rPr>
          <w:lang w:val="en-GB"/>
        </w:rPr>
      </w:pPr>
      <w:r w:rsidRPr="005964A3">
        <w:rPr>
          <w:lang w:val="en-GB"/>
        </w:rPr>
        <w:t xml:space="preserve">A useful starting point on how the PSA works is the description in the pioneering patent by </w:t>
      </w:r>
      <w:proofErr w:type="spellStart"/>
      <w:r w:rsidRPr="005964A3">
        <w:rPr>
          <w:lang w:val="en-GB"/>
        </w:rPr>
        <w:t>Skarstrom</w:t>
      </w:r>
      <w:proofErr w:type="spellEnd"/>
      <w:r w:rsidRPr="005964A3">
        <w:rPr>
          <w:lang w:val="en-GB"/>
        </w:rPr>
        <w:t xml:space="preserve"> (1960), in which the application of a pressure swing process to separate components in gaseous mixtures is described. From that, it is clear that in the PSA </w:t>
      </w:r>
      <w:r w:rsidR="00FB04E0">
        <w:rPr>
          <w:lang w:val="en-GB"/>
        </w:rPr>
        <w:t>c</w:t>
      </w:r>
      <w:r w:rsidRPr="005964A3">
        <w:rPr>
          <w:lang w:val="en-GB"/>
        </w:rPr>
        <w:t>ycle a bed back-purge step needs to be employed in order to increase the purity level of the product stream. There was also much information gathered from publications (</w:t>
      </w:r>
      <w:r w:rsidR="003A0381" w:rsidRPr="005964A3">
        <w:rPr>
          <w:lang w:val="en-GB"/>
        </w:rPr>
        <w:t>e.g.,</w:t>
      </w:r>
      <w:r w:rsidRPr="005964A3">
        <w:rPr>
          <w:lang w:val="en-GB"/>
        </w:rPr>
        <w:t xml:space="preserve"> Ackley, 2019) on the use of PSA to concentrate O</w:t>
      </w:r>
      <w:r w:rsidRPr="00A1238D">
        <w:rPr>
          <w:vertAlign w:val="subscript"/>
          <w:lang w:val="en-GB"/>
        </w:rPr>
        <w:t>2</w:t>
      </w:r>
      <w:r w:rsidRPr="005964A3">
        <w:rPr>
          <w:lang w:val="en-GB"/>
        </w:rPr>
        <w:t xml:space="preserve"> from </w:t>
      </w:r>
      <w:r w:rsidR="003A0381">
        <w:rPr>
          <w:lang w:val="en-GB"/>
        </w:rPr>
        <w:t xml:space="preserve">the </w:t>
      </w:r>
      <w:r w:rsidRPr="005964A3">
        <w:rPr>
          <w:lang w:val="en-GB"/>
        </w:rPr>
        <w:t>air</w:t>
      </w:r>
      <w:r w:rsidR="00A1238D">
        <w:rPr>
          <w:lang w:val="en-GB"/>
        </w:rPr>
        <w:t xml:space="preserve">, </w:t>
      </w:r>
      <w:r w:rsidRPr="005964A3">
        <w:rPr>
          <w:lang w:val="en-GB"/>
        </w:rPr>
        <w:t xml:space="preserve">which </w:t>
      </w:r>
      <w:r w:rsidR="003A0381">
        <w:rPr>
          <w:lang w:val="en-GB"/>
        </w:rPr>
        <w:t>was</w:t>
      </w:r>
      <w:r w:rsidR="003A0381" w:rsidRPr="005964A3">
        <w:rPr>
          <w:lang w:val="en-GB"/>
        </w:rPr>
        <w:t xml:space="preserve"> </w:t>
      </w:r>
      <w:r w:rsidRPr="005964A3">
        <w:rPr>
          <w:lang w:val="en-GB"/>
        </w:rPr>
        <w:t xml:space="preserve">helpful </w:t>
      </w:r>
      <w:r w:rsidR="008C6942">
        <w:rPr>
          <w:lang w:val="en-GB"/>
        </w:rPr>
        <w:t>to</w:t>
      </w:r>
      <w:r w:rsidRPr="005964A3">
        <w:rPr>
          <w:lang w:val="en-GB"/>
        </w:rPr>
        <w:t xml:space="preserve"> understand the more generic aspects of PSA design</w:t>
      </w:r>
      <w:r w:rsidR="00A1238D">
        <w:rPr>
          <w:lang w:val="en-GB"/>
        </w:rPr>
        <w:t xml:space="preserve"> - then</w:t>
      </w:r>
      <w:r w:rsidRPr="005964A3">
        <w:rPr>
          <w:lang w:val="en-GB"/>
        </w:rPr>
        <w:t xml:space="preserve"> </w:t>
      </w:r>
      <w:r w:rsidR="008C6942">
        <w:rPr>
          <w:lang w:val="en-GB"/>
        </w:rPr>
        <w:t xml:space="preserve">on hydrogen separation </w:t>
      </w:r>
      <w:r w:rsidR="005E696C">
        <w:rPr>
          <w:lang w:val="en-GB"/>
        </w:rPr>
        <w:t xml:space="preserve">information was gathered </w:t>
      </w:r>
      <w:r w:rsidR="00A1238D">
        <w:rPr>
          <w:lang w:val="en-GB"/>
        </w:rPr>
        <w:t>from</w:t>
      </w:r>
      <w:r w:rsidRPr="005964A3">
        <w:rPr>
          <w:lang w:val="en-GB"/>
        </w:rPr>
        <w:t xml:space="preserve"> publications</w:t>
      </w:r>
      <w:r w:rsidR="005E696C">
        <w:rPr>
          <w:lang w:val="en-GB"/>
        </w:rPr>
        <w:t xml:space="preserve"> on that topic</w:t>
      </w:r>
      <w:r w:rsidRPr="005964A3">
        <w:rPr>
          <w:lang w:val="en-GB"/>
        </w:rPr>
        <w:t xml:space="preserve"> (</w:t>
      </w:r>
      <w:r w:rsidR="003A0381" w:rsidRPr="005964A3">
        <w:rPr>
          <w:lang w:val="en-GB"/>
        </w:rPr>
        <w:t>e.g.,</w:t>
      </w:r>
      <w:r w:rsidRPr="005964A3">
        <w:rPr>
          <w:lang w:val="en-GB"/>
        </w:rPr>
        <w:t xml:space="preserve"> AIGA, 2018)</w:t>
      </w:r>
      <w:r w:rsidR="008C6942">
        <w:rPr>
          <w:lang w:val="en-GB"/>
        </w:rPr>
        <w:t xml:space="preserve"> </w:t>
      </w:r>
      <w:r w:rsidR="007A6223">
        <w:rPr>
          <w:lang w:val="en-GB"/>
        </w:rPr>
        <w:t xml:space="preserve">and other literature from </w:t>
      </w:r>
      <w:r w:rsidR="00FB04E0">
        <w:rPr>
          <w:lang w:val="en-GB"/>
        </w:rPr>
        <w:t>vendors of</w:t>
      </w:r>
      <w:r w:rsidR="007A6223">
        <w:rPr>
          <w:lang w:val="en-GB"/>
        </w:rPr>
        <w:t xml:space="preserve"> PSA </w:t>
      </w:r>
      <w:r w:rsidR="00FB04E0">
        <w:rPr>
          <w:lang w:val="en-GB"/>
        </w:rPr>
        <w:t>equipment</w:t>
      </w:r>
      <w:r w:rsidR="007A6223">
        <w:rPr>
          <w:lang w:val="en-GB"/>
        </w:rPr>
        <w:t xml:space="preserve"> and their websites</w:t>
      </w:r>
      <w:r w:rsidRPr="005964A3">
        <w:rPr>
          <w:lang w:val="en-GB"/>
        </w:rPr>
        <w:t>.</w:t>
      </w:r>
      <w:r w:rsidR="00FB04E0">
        <w:rPr>
          <w:lang w:val="en-GB"/>
        </w:rPr>
        <w:t xml:space="preserve"> </w:t>
      </w:r>
      <w:r w:rsidR="00A95800">
        <w:rPr>
          <w:lang w:val="en-GB"/>
        </w:rPr>
        <w:t xml:space="preserve">To achieve very high purity levels schemes become complex, and as an example in </w:t>
      </w:r>
      <w:r w:rsidR="00FB04E0">
        <w:rPr>
          <w:lang w:val="en-GB"/>
        </w:rPr>
        <w:t xml:space="preserve">Chou et al. (2013) </w:t>
      </w:r>
      <w:r w:rsidR="00A95800">
        <w:rPr>
          <w:lang w:val="en-GB"/>
        </w:rPr>
        <w:t xml:space="preserve">a </w:t>
      </w:r>
      <w:r w:rsidR="003A0381">
        <w:rPr>
          <w:lang w:val="en-GB"/>
        </w:rPr>
        <w:t>two-stage</w:t>
      </w:r>
      <w:r w:rsidR="00A95800">
        <w:rPr>
          <w:lang w:val="en-GB"/>
        </w:rPr>
        <w:t xml:space="preserve"> dual-bed </w:t>
      </w:r>
      <w:r w:rsidR="003A0381">
        <w:rPr>
          <w:lang w:val="en-GB"/>
        </w:rPr>
        <w:t>eight-step</w:t>
      </w:r>
      <w:r w:rsidR="00A95800">
        <w:rPr>
          <w:lang w:val="en-GB"/>
        </w:rPr>
        <w:t xml:space="preserve"> PSA process is studied</w:t>
      </w:r>
      <w:r w:rsidR="00FB04E0">
        <w:rPr>
          <w:lang w:val="en-GB"/>
        </w:rPr>
        <w:t xml:space="preserve"> to </w:t>
      </w:r>
      <w:r w:rsidR="00A95800">
        <w:rPr>
          <w:lang w:val="en-GB"/>
        </w:rPr>
        <w:t>produce</w:t>
      </w:r>
      <w:r w:rsidR="00FB04E0">
        <w:rPr>
          <w:lang w:val="en-GB"/>
        </w:rPr>
        <w:t xml:space="preserve"> high-purity H</w:t>
      </w:r>
      <w:r w:rsidR="00FB04E0" w:rsidRPr="00FB04E0">
        <w:rPr>
          <w:vertAlign w:val="subscript"/>
          <w:lang w:val="en-GB"/>
        </w:rPr>
        <w:t>2</w:t>
      </w:r>
      <w:r w:rsidR="00FB04E0">
        <w:rPr>
          <w:lang w:val="en-GB"/>
        </w:rPr>
        <w:t xml:space="preserve"> and to capture CO</w:t>
      </w:r>
      <w:r w:rsidR="00FB04E0" w:rsidRPr="00FB04E0">
        <w:rPr>
          <w:vertAlign w:val="subscript"/>
          <w:lang w:val="en-GB"/>
        </w:rPr>
        <w:t>2</w:t>
      </w:r>
      <w:r w:rsidR="00FB04E0">
        <w:rPr>
          <w:lang w:val="en-GB"/>
        </w:rPr>
        <w:t xml:space="preserve"> from synthesis gas.</w:t>
      </w:r>
    </w:p>
    <w:p w14:paraId="076F54C4" w14:textId="2246982D" w:rsidR="00517934" w:rsidRDefault="00517934" w:rsidP="00517934">
      <w:pPr>
        <w:pStyle w:val="CETHeading1"/>
      </w:pPr>
      <w:r>
        <w:t>Process design and methodology</w:t>
      </w:r>
    </w:p>
    <w:p w14:paraId="6A46517D" w14:textId="6A4E6CBD" w:rsidR="00517934" w:rsidRPr="005964A3" w:rsidRDefault="005964A3" w:rsidP="00517934">
      <w:pPr>
        <w:pStyle w:val="CETBodytext"/>
        <w:rPr>
          <w:lang w:val="en-GB"/>
        </w:rPr>
      </w:pPr>
      <w:r w:rsidRPr="005964A3">
        <w:t xml:space="preserve">In the industrial setting in which this project was based, there was a need to fast-track the understanding and develop in-house know-how in </w:t>
      </w:r>
      <w:r w:rsidR="003A0381" w:rsidRPr="005964A3">
        <w:t>th</w:t>
      </w:r>
      <w:r w:rsidR="003A0381">
        <w:t>e PSA</w:t>
      </w:r>
      <w:r w:rsidR="003A0381" w:rsidRPr="005964A3">
        <w:t xml:space="preserve"> </w:t>
      </w:r>
      <w:r w:rsidRPr="005964A3">
        <w:t>field</w:t>
      </w:r>
      <w:r w:rsidR="003A0381">
        <w:t xml:space="preserve"> resulting in</w:t>
      </w:r>
      <w:r w:rsidRPr="005964A3">
        <w:t xml:space="preserve"> </w:t>
      </w:r>
      <w:r w:rsidR="003A0381" w:rsidRPr="005964A3">
        <w:t>several</w:t>
      </w:r>
      <w:r w:rsidRPr="005964A3">
        <w:t xml:space="preserve"> challenges. After studying the literature, and performing some short-cut design calculations, it was decided to gain direct experience of </w:t>
      </w:r>
      <w:r w:rsidR="003A0381">
        <w:t xml:space="preserve">the </w:t>
      </w:r>
      <w:r w:rsidRPr="005964A3">
        <w:t>PSA process</w:t>
      </w:r>
      <w:r w:rsidR="00912106">
        <w:t>. This</w:t>
      </w:r>
      <w:r w:rsidRPr="005964A3">
        <w:t xml:space="preserve"> start</w:t>
      </w:r>
      <w:r w:rsidR="00912106">
        <w:t>ed</w:t>
      </w:r>
      <w:r w:rsidRPr="005964A3">
        <w:t xml:space="preserve"> with trials in a</w:t>
      </w:r>
      <w:r w:rsidR="00BA7EB0">
        <w:t xml:space="preserve"> relatively</w:t>
      </w:r>
      <w:r w:rsidRPr="005964A3">
        <w:t xml:space="preserve"> small diameter (52 mm) column (Phase 1), and then </w:t>
      </w:r>
      <w:r w:rsidR="00912106">
        <w:t xml:space="preserve">that knowledge was used </w:t>
      </w:r>
      <w:r w:rsidRPr="005964A3">
        <w:t xml:space="preserve">to </w:t>
      </w:r>
      <w:r w:rsidR="003A0381">
        <w:t>scale up</w:t>
      </w:r>
      <w:r w:rsidRPr="005964A3">
        <w:t xml:space="preserve"> the design (Phase 2) to a larger diameter (888 mm) bed. </w:t>
      </w:r>
      <w:r w:rsidR="003E7291">
        <w:t>T</w:t>
      </w:r>
      <w:r w:rsidR="00832AE9">
        <w:t xml:space="preserve">his paper describes </w:t>
      </w:r>
      <w:r w:rsidR="00BA7EB0">
        <w:t xml:space="preserve">the </w:t>
      </w:r>
      <w:r w:rsidR="00832AE9">
        <w:t>progress</w:t>
      </w:r>
      <w:r w:rsidR="00BA7EB0">
        <w:t xml:space="preserve"> made</w:t>
      </w:r>
      <w:r w:rsidR="00832AE9">
        <w:t xml:space="preserve"> in a commercial setting</w:t>
      </w:r>
      <w:r w:rsidR="003E7291">
        <w:t xml:space="preserve"> and emphasis is placed on </w:t>
      </w:r>
      <w:r w:rsidR="00832AE9">
        <w:t xml:space="preserve">the </w:t>
      </w:r>
      <w:r w:rsidR="003A0381">
        <w:t xml:space="preserve">followed </w:t>
      </w:r>
      <w:r w:rsidR="00832AE9">
        <w:t xml:space="preserve">methodology and </w:t>
      </w:r>
      <w:r w:rsidR="003E7291">
        <w:t xml:space="preserve">design strategy </w:t>
      </w:r>
      <w:r w:rsidR="004265DC">
        <w:t>developed</w:t>
      </w:r>
      <w:r w:rsidR="00832AE9">
        <w:t>. However,</w:t>
      </w:r>
      <w:r w:rsidR="003E7291">
        <w:t xml:space="preserve"> </w:t>
      </w:r>
      <w:r w:rsidR="00832AE9">
        <w:t>specific information on the adsorbents which were used</w:t>
      </w:r>
      <w:r w:rsidR="003E7291">
        <w:t xml:space="preserve"> is not disclosed</w:t>
      </w:r>
      <w:r w:rsidR="00832AE9">
        <w:t xml:space="preserve">, as that is considered proprietary knowledge. </w:t>
      </w:r>
      <w:r w:rsidR="004265DC">
        <w:t>Anyway</w:t>
      </w:r>
      <w:r w:rsidR="00832AE9">
        <w:t xml:space="preserve">, in illustrating the methodology, </w:t>
      </w:r>
      <w:r w:rsidRPr="005964A3">
        <w:t xml:space="preserve">some of the results </w:t>
      </w:r>
      <w:r w:rsidR="00832AE9">
        <w:t>are</w:t>
      </w:r>
      <w:r w:rsidR="004265DC">
        <w:t xml:space="preserve"> still</w:t>
      </w:r>
      <w:r w:rsidR="00832AE9">
        <w:t xml:space="preserve"> presented to </w:t>
      </w:r>
      <w:r w:rsidR="00BA7EB0">
        <w:t>illustrate the</w:t>
      </w:r>
      <w:r w:rsidR="00832AE9">
        <w:t xml:space="preserve"> type of information obtained and the decisions that followed.</w:t>
      </w:r>
    </w:p>
    <w:p w14:paraId="27E99B8D" w14:textId="7A11170A" w:rsidR="00B50A56" w:rsidRPr="00B57B36" w:rsidRDefault="00B50A56" w:rsidP="00B50A56">
      <w:pPr>
        <w:pStyle w:val="CETheadingx"/>
      </w:pPr>
      <w:bookmarkStart w:id="3" w:name="_Hlk128667928"/>
      <w:r w:rsidRPr="00B57B36">
        <w:lastRenderedPageBreak/>
        <w:t>P</w:t>
      </w:r>
      <w:r>
        <w:t>hase 1</w:t>
      </w:r>
      <w:r w:rsidR="007A6223">
        <w:t xml:space="preserve"> </w:t>
      </w:r>
      <w:r w:rsidR="00BA7EB0">
        <w:t xml:space="preserve">trials </w:t>
      </w:r>
      <w:r w:rsidR="007A6223">
        <w:t>in the single small-diameter PSA bed</w:t>
      </w:r>
    </w:p>
    <w:p w14:paraId="1EBAC80B" w14:textId="29CF562A" w:rsidR="00697FEF" w:rsidRDefault="00B50A56" w:rsidP="00B50A56">
      <w:pPr>
        <w:pStyle w:val="CETBodytext"/>
        <w:rPr>
          <w:lang w:val="en-GB"/>
        </w:rPr>
      </w:pPr>
      <w:bookmarkStart w:id="4" w:name="_Hlk128655969"/>
      <w:r>
        <w:rPr>
          <w:lang w:val="en-GB"/>
        </w:rPr>
        <w:t xml:space="preserve">An outline schematic of the equipment used is presented in Figure </w:t>
      </w:r>
      <w:r w:rsidR="00A61A1A">
        <w:rPr>
          <w:lang w:val="en-GB"/>
        </w:rPr>
        <w:t>2</w:t>
      </w:r>
      <w:r>
        <w:rPr>
          <w:lang w:val="en-GB"/>
        </w:rPr>
        <w:t>. In these initial trials a synthetic gas mixture was used to represent the Syngas feed and the back-</w:t>
      </w:r>
      <w:r w:rsidR="007475DD">
        <w:rPr>
          <w:lang w:val="en-GB"/>
        </w:rPr>
        <w:t>purge</w:t>
      </w:r>
      <w:r>
        <w:rPr>
          <w:lang w:val="en-GB"/>
        </w:rPr>
        <w:t xml:space="preserve"> product gas stream. The </w:t>
      </w:r>
      <w:bookmarkEnd w:id="4"/>
      <w:r>
        <w:rPr>
          <w:lang w:val="en-GB"/>
        </w:rPr>
        <w:t xml:space="preserve">composition of these synthetic streams is presented in Table </w:t>
      </w:r>
      <w:r w:rsidR="004265DC">
        <w:rPr>
          <w:lang w:val="en-GB"/>
        </w:rPr>
        <w:t>1 together</w:t>
      </w:r>
      <w:r>
        <w:rPr>
          <w:lang w:val="en-GB"/>
        </w:rPr>
        <w:t xml:space="preserve"> with a base-case product output </w:t>
      </w:r>
      <w:bookmarkEnd w:id="3"/>
      <w:r>
        <w:rPr>
          <w:lang w:val="en-GB"/>
        </w:rPr>
        <w:t>stream from the gasifier. The base</w:t>
      </w:r>
      <w:r w:rsidR="00EA5484">
        <w:rPr>
          <w:lang w:val="en-GB"/>
        </w:rPr>
        <w:t>-</w:t>
      </w:r>
      <w:r>
        <w:rPr>
          <w:lang w:val="en-GB"/>
        </w:rPr>
        <w:t>case reflects a condition in which the gasifier operates with an air feed, and the H</w:t>
      </w:r>
      <w:r w:rsidRPr="00B50A56">
        <w:rPr>
          <w:vertAlign w:val="subscript"/>
          <w:lang w:val="en-GB"/>
        </w:rPr>
        <w:t>2</w:t>
      </w:r>
      <w:r>
        <w:rPr>
          <w:lang w:val="en-GB"/>
        </w:rPr>
        <w:t xml:space="preserve"> concentration in </w:t>
      </w:r>
      <w:r w:rsidR="00EA5484">
        <w:rPr>
          <w:lang w:val="en-GB"/>
        </w:rPr>
        <w:t xml:space="preserve">the </w:t>
      </w:r>
      <w:r>
        <w:rPr>
          <w:lang w:val="en-GB"/>
        </w:rPr>
        <w:t xml:space="preserve">dry </w:t>
      </w:r>
      <w:r w:rsidR="00EA5484">
        <w:rPr>
          <w:lang w:val="en-GB"/>
        </w:rPr>
        <w:t>S</w:t>
      </w:r>
      <w:r>
        <w:rPr>
          <w:lang w:val="en-GB"/>
        </w:rPr>
        <w:t xml:space="preserve">yngas varies from </w:t>
      </w:r>
      <w:r w:rsidR="003E7291">
        <w:rPr>
          <w:lang w:val="en-GB"/>
        </w:rPr>
        <w:t>12</w:t>
      </w:r>
      <w:r>
        <w:rPr>
          <w:lang w:val="en-GB"/>
        </w:rPr>
        <w:t xml:space="preserve"> to </w:t>
      </w:r>
      <w:r w:rsidR="003E7291">
        <w:rPr>
          <w:lang w:val="en-GB"/>
        </w:rPr>
        <w:t>14 vol</w:t>
      </w:r>
      <w:r>
        <w:rPr>
          <w:lang w:val="en-GB"/>
        </w:rPr>
        <w:t>%.</w:t>
      </w:r>
      <w:r w:rsidR="007A6223">
        <w:rPr>
          <w:lang w:val="en-GB"/>
        </w:rPr>
        <w:t xml:space="preserve"> The O</w:t>
      </w:r>
      <w:r w:rsidR="007A6223" w:rsidRPr="007A6223">
        <w:rPr>
          <w:vertAlign w:val="subscript"/>
          <w:lang w:val="en-GB"/>
        </w:rPr>
        <w:t>2</w:t>
      </w:r>
      <w:r w:rsidR="007A6223">
        <w:rPr>
          <w:lang w:val="en-GB"/>
        </w:rPr>
        <w:t xml:space="preserve"> in the air</w:t>
      </w:r>
      <w:r w:rsidR="00CD63EC">
        <w:rPr>
          <w:lang w:val="en-GB"/>
        </w:rPr>
        <w:t xml:space="preserve"> fed into the gasifier</w:t>
      </w:r>
      <w:r w:rsidR="007A6223">
        <w:rPr>
          <w:lang w:val="en-GB"/>
        </w:rPr>
        <w:t xml:space="preserve"> </w:t>
      </w:r>
      <w:r w:rsidR="00CD63EC">
        <w:rPr>
          <w:lang w:val="en-GB"/>
        </w:rPr>
        <w:t>is consumed in</w:t>
      </w:r>
      <w:r w:rsidR="007A6223">
        <w:rPr>
          <w:lang w:val="en-GB"/>
        </w:rPr>
        <w:t xml:space="preserve"> the combustion and partial oxidation reaction which provide the heat in the gasifier to support the complex </w:t>
      </w:r>
      <w:r w:rsidR="0097617D">
        <w:rPr>
          <w:lang w:val="en-GB"/>
        </w:rPr>
        <w:t>combination</w:t>
      </w:r>
      <w:r w:rsidR="007A6223">
        <w:rPr>
          <w:lang w:val="en-GB"/>
        </w:rPr>
        <w:t xml:space="preserve"> of </w:t>
      </w:r>
      <w:r w:rsidR="00004167">
        <w:rPr>
          <w:lang w:val="en-GB"/>
        </w:rPr>
        <w:t>reaction (</w:t>
      </w:r>
      <w:r w:rsidR="007A6223">
        <w:rPr>
          <w:lang w:val="en-GB"/>
        </w:rPr>
        <w:t>series</w:t>
      </w:r>
      <w:r w:rsidR="00004167">
        <w:rPr>
          <w:lang w:val="en-GB"/>
        </w:rPr>
        <w:t xml:space="preserve"> &amp; </w:t>
      </w:r>
      <w:r w:rsidR="007A6223">
        <w:rPr>
          <w:lang w:val="en-GB"/>
        </w:rPr>
        <w:t>parallel</w:t>
      </w:r>
      <w:r w:rsidR="00004167">
        <w:rPr>
          <w:lang w:val="en-GB"/>
        </w:rPr>
        <w:t>),</w:t>
      </w:r>
      <w:r w:rsidR="007A6223">
        <w:rPr>
          <w:lang w:val="en-GB"/>
        </w:rPr>
        <w:t xml:space="preserve"> which </w:t>
      </w:r>
      <w:r w:rsidR="004265DC">
        <w:rPr>
          <w:lang w:val="en-GB"/>
        </w:rPr>
        <w:t xml:space="preserve">leads </w:t>
      </w:r>
      <w:r w:rsidR="007A6223">
        <w:rPr>
          <w:lang w:val="en-GB"/>
        </w:rPr>
        <w:t>to the production of Syngas.</w:t>
      </w:r>
      <w:r>
        <w:rPr>
          <w:lang w:val="en-GB"/>
        </w:rPr>
        <w:t xml:space="preserve"> </w:t>
      </w:r>
      <w:r w:rsidR="008C6942">
        <w:rPr>
          <w:lang w:val="en-GB"/>
        </w:rPr>
        <w:t>I</w:t>
      </w:r>
      <w:r>
        <w:rPr>
          <w:lang w:val="en-GB"/>
        </w:rPr>
        <w:t xml:space="preserve">f an </w:t>
      </w:r>
      <w:r w:rsidR="004265DC">
        <w:rPr>
          <w:lang w:val="en-GB"/>
        </w:rPr>
        <w:t>O</w:t>
      </w:r>
      <w:r w:rsidR="004265DC" w:rsidRPr="0049375B">
        <w:rPr>
          <w:vertAlign w:val="subscript"/>
          <w:lang w:val="en-GB"/>
        </w:rPr>
        <w:t>2</w:t>
      </w:r>
      <w:r w:rsidR="004265DC">
        <w:rPr>
          <w:lang w:val="en-GB"/>
        </w:rPr>
        <w:t>-enriched</w:t>
      </w:r>
      <w:r>
        <w:rPr>
          <w:lang w:val="en-GB"/>
        </w:rPr>
        <w:t xml:space="preserve"> air stream is fed into the gasifier</w:t>
      </w:r>
      <w:r w:rsidR="00EA5484">
        <w:rPr>
          <w:lang w:val="en-GB"/>
        </w:rPr>
        <w:t>,</w:t>
      </w:r>
      <w:r w:rsidR="008C6942" w:rsidRPr="008C6942">
        <w:t xml:space="preserve"> </w:t>
      </w:r>
      <w:r w:rsidR="008C6942">
        <w:t xml:space="preserve">then a </w:t>
      </w:r>
      <w:r w:rsidR="008C6942">
        <w:rPr>
          <w:lang w:val="en-GB"/>
        </w:rPr>
        <w:t>h</w:t>
      </w:r>
      <w:r w:rsidR="008C6942" w:rsidRPr="008C6942">
        <w:rPr>
          <w:lang w:val="en-GB"/>
        </w:rPr>
        <w:t>igher H</w:t>
      </w:r>
      <w:r w:rsidR="008C6942" w:rsidRPr="008C6942">
        <w:rPr>
          <w:vertAlign w:val="subscript"/>
          <w:lang w:val="en-GB"/>
        </w:rPr>
        <w:t>2</w:t>
      </w:r>
      <w:r w:rsidR="008C6942" w:rsidRPr="008C6942">
        <w:rPr>
          <w:lang w:val="en-GB"/>
        </w:rPr>
        <w:t xml:space="preserve"> concentration</w:t>
      </w:r>
      <w:r w:rsidR="007A6223">
        <w:rPr>
          <w:lang w:val="en-GB"/>
        </w:rPr>
        <w:t xml:space="preserve"> in the Syngas</w:t>
      </w:r>
      <w:r w:rsidR="008C6942" w:rsidRPr="008C6942">
        <w:rPr>
          <w:lang w:val="en-GB"/>
        </w:rPr>
        <w:t xml:space="preserve"> can be achieved</w:t>
      </w:r>
      <w:r w:rsidR="004265DC">
        <w:rPr>
          <w:lang w:val="en-GB"/>
        </w:rPr>
        <w:t>. H</w:t>
      </w:r>
      <w:r w:rsidR="00EA5484">
        <w:rPr>
          <w:lang w:val="en-GB"/>
        </w:rPr>
        <w:t>owever, for the work described</w:t>
      </w:r>
      <w:r w:rsidR="007A6223">
        <w:rPr>
          <w:lang w:val="en-GB"/>
        </w:rPr>
        <w:t xml:space="preserve"> here</w:t>
      </w:r>
      <w:r w:rsidR="00EA5484">
        <w:rPr>
          <w:lang w:val="en-GB"/>
        </w:rPr>
        <w:t>, the base-case situation was used.</w:t>
      </w:r>
      <w:r w:rsidR="00524E4F">
        <w:rPr>
          <w:lang w:val="en-GB"/>
        </w:rPr>
        <w:t xml:space="preserve"> </w:t>
      </w:r>
      <w:r w:rsidR="00333567">
        <w:rPr>
          <w:lang w:val="en-GB"/>
        </w:rPr>
        <w:t xml:space="preserve">The diameter of the bed was 52 mm, and its </w:t>
      </w:r>
      <w:r w:rsidR="007278B6">
        <w:rPr>
          <w:lang w:val="en-GB"/>
        </w:rPr>
        <w:t xml:space="preserve">overall </w:t>
      </w:r>
      <w:r w:rsidR="00333567">
        <w:rPr>
          <w:lang w:val="en-GB"/>
        </w:rPr>
        <w:t xml:space="preserve">length was </w:t>
      </w:r>
      <w:r w:rsidR="007278B6">
        <w:rPr>
          <w:lang w:val="en-GB"/>
        </w:rPr>
        <w:t>long (</w:t>
      </w:r>
      <w:r w:rsidR="00333567">
        <w:rPr>
          <w:lang w:val="en-GB"/>
        </w:rPr>
        <w:t>4 + 4 = 8 m)</w:t>
      </w:r>
      <w:r w:rsidR="0097617D">
        <w:rPr>
          <w:lang w:val="en-GB"/>
        </w:rPr>
        <w:t>,</w:t>
      </w:r>
      <w:r w:rsidR="00715072">
        <w:rPr>
          <w:lang w:val="en-GB"/>
        </w:rPr>
        <w:t xml:space="preserve"> </w:t>
      </w:r>
      <w:r w:rsidR="004265DC">
        <w:rPr>
          <w:lang w:val="en-GB"/>
        </w:rPr>
        <w:t>to</w:t>
      </w:r>
      <w:r w:rsidR="00333567">
        <w:rPr>
          <w:lang w:val="en-GB"/>
        </w:rPr>
        <w:t xml:space="preserve"> magnify the effects to be observed.</w:t>
      </w:r>
    </w:p>
    <w:p w14:paraId="5315FFDF" w14:textId="1EBE4B7A" w:rsidR="00697FEF" w:rsidRDefault="00B801E5" w:rsidP="0049375B">
      <w:pPr>
        <w:pStyle w:val="CETBodytext"/>
        <w:jc w:val="center"/>
        <w:rPr>
          <w:lang w:val="en-GB"/>
        </w:rPr>
      </w:pPr>
      <w:r>
        <w:rPr>
          <w:noProof/>
        </w:rPr>
        <w:drawing>
          <wp:inline distT="0" distB="0" distL="0" distR="0" wp14:anchorId="05625879" wp14:editId="0C009BA9">
            <wp:extent cx="5162550" cy="2904118"/>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170915" cy="2908823"/>
                    </a:xfrm>
                    <a:prstGeom prst="rect">
                      <a:avLst/>
                    </a:prstGeom>
                  </pic:spPr>
                </pic:pic>
              </a:graphicData>
            </a:graphic>
          </wp:inline>
        </w:drawing>
      </w:r>
    </w:p>
    <w:p w14:paraId="5948B931" w14:textId="79EDB673" w:rsidR="00B801E5" w:rsidRPr="00A61A1A" w:rsidRDefault="00B801E5" w:rsidP="00B801E5">
      <w:pPr>
        <w:pStyle w:val="CETBodytext"/>
        <w:rPr>
          <w:i/>
          <w:iCs/>
          <w:lang w:val="en-GB"/>
        </w:rPr>
      </w:pPr>
      <w:r w:rsidRPr="00A61A1A">
        <w:rPr>
          <w:i/>
          <w:iCs/>
          <w:lang w:val="en-GB"/>
        </w:rPr>
        <w:t xml:space="preserve">Figure </w:t>
      </w:r>
      <w:r>
        <w:rPr>
          <w:i/>
          <w:iCs/>
          <w:lang w:val="en-GB"/>
        </w:rPr>
        <w:t>2</w:t>
      </w:r>
      <w:r w:rsidRPr="00A61A1A">
        <w:rPr>
          <w:i/>
          <w:iCs/>
          <w:lang w:val="en-GB"/>
        </w:rPr>
        <w:t xml:space="preserve">: Schematic to </w:t>
      </w:r>
      <w:r>
        <w:rPr>
          <w:i/>
          <w:iCs/>
          <w:lang w:val="en-GB"/>
        </w:rPr>
        <w:t>illustrate the configuration used in Phase 1</w:t>
      </w:r>
      <w:r w:rsidR="006E3957">
        <w:rPr>
          <w:i/>
          <w:iCs/>
          <w:lang w:val="en-GB"/>
        </w:rPr>
        <w:t>,</w:t>
      </w:r>
      <w:r>
        <w:rPr>
          <w:i/>
          <w:iCs/>
          <w:lang w:val="en-GB"/>
        </w:rPr>
        <w:t xml:space="preserve"> representing a long PSA bed</w:t>
      </w:r>
      <w:r w:rsidR="006E3957">
        <w:rPr>
          <w:i/>
          <w:iCs/>
          <w:lang w:val="en-GB"/>
        </w:rPr>
        <w:t>. The bed in C1 was used to trap moisture (length 2 m). The adsorbent was in C2 &amp; C3 with a total bed length = 4 + 4 = 8</w:t>
      </w:r>
      <w:r w:rsidR="00CD63EC">
        <w:rPr>
          <w:i/>
          <w:iCs/>
          <w:lang w:val="en-GB"/>
        </w:rPr>
        <w:t xml:space="preserve"> </w:t>
      </w:r>
      <w:r w:rsidR="006E3957">
        <w:rPr>
          <w:i/>
          <w:iCs/>
          <w:lang w:val="en-GB"/>
        </w:rPr>
        <w:t xml:space="preserve">m. </w:t>
      </w:r>
      <w:r w:rsidR="007B73DC">
        <w:rPr>
          <w:i/>
          <w:iCs/>
          <w:lang w:val="en-GB"/>
        </w:rPr>
        <w:t>The alumina bed C1 was maintained at a fixed pressure and t</w:t>
      </w:r>
      <w:r w:rsidR="006E3957">
        <w:rPr>
          <w:i/>
          <w:iCs/>
          <w:lang w:val="en-GB"/>
        </w:rPr>
        <w:t>he PSA cycle was only performed on C2 &amp; C3</w:t>
      </w:r>
      <w:r w:rsidR="007B73DC">
        <w:rPr>
          <w:i/>
          <w:iCs/>
          <w:lang w:val="en-GB"/>
        </w:rPr>
        <w:t>.</w:t>
      </w:r>
    </w:p>
    <w:p w14:paraId="37F396E8" w14:textId="77777777" w:rsidR="000137FD" w:rsidRPr="000137FD" w:rsidRDefault="000137FD" w:rsidP="000137FD">
      <w:pPr>
        <w:pStyle w:val="CETBodytext"/>
        <w:rPr>
          <w:lang w:val="en-GB"/>
        </w:rPr>
      </w:pPr>
    </w:p>
    <w:p w14:paraId="3D8D13D2" w14:textId="3A7B53C6" w:rsidR="000137FD" w:rsidRPr="00B57B36" w:rsidRDefault="000137FD" w:rsidP="0049375B">
      <w:pPr>
        <w:pStyle w:val="CETTabletitle"/>
        <w:jc w:val="center"/>
      </w:pPr>
      <w:r w:rsidRPr="00B57B36">
        <w:t xml:space="preserve">Table 1: </w:t>
      </w:r>
      <w:r>
        <w:t xml:space="preserve">Composition of real and synthetic </w:t>
      </w:r>
      <w:r w:rsidR="00630EF7">
        <w:t>S</w:t>
      </w:r>
      <w:r>
        <w:t>yngas</w:t>
      </w:r>
      <w:r w:rsidR="00515A41">
        <w:t xml:space="preserve"> and back-purge</w:t>
      </w:r>
      <w:r>
        <w:t xml:space="preserve"> streams</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0137FD" w:rsidRPr="00B57B36" w14:paraId="38D4D4F7" w14:textId="77777777" w:rsidTr="0049375B">
        <w:trPr>
          <w:jc w:val="center"/>
        </w:trPr>
        <w:tc>
          <w:tcPr>
            <w:tcW w:w="1134" w:type="dxa"/>
            <w:tcBorders>
              <w:top w:val="single" w:sz="12" w:space="0" w:color="008000"/>
              <w:bottom w:val="single" w:sz="6" w:space="0" w:color="008000"/>
            </w:tcBorders>
            <w:shd w:val="clear" w:color="auto" w:fill="FFFFFF"/>
          </w:tcPr>
          <w:p w14:paraId="69E05DFA" w14:textId="77777777" w:rsidR="00630EF7" w:rsidRDefault="00630EF7" w:rsidP="00E25AEA">
            <w:pPr>
              <w:pStyle w:val="CETBodytext"/>
              <w:rPr>
                <w:lang w:val="en-GB"/>
              </w:rPr>
            </w:pPr>
          </w:p>
          <w:p w14:paraId="22B0F9EC" w14:textId="77777777" w:rsidR="00630EF7" w:rsidRDefault="00630EF7" w:rsidP="00E25AEA">
            <w:pPr>
              <w:pStyle w:val="CETBodytext"/>
              <w:rPr>
                <w:lang w:val="en-GB"/>
              </w:rPr>
            </w:pPr>
          </w:p>
          <w:p w14:paraId="683E2D96" w14:textId="5F823ED2" w:rsidR="000137FD" w:rsidRPr="00B57B36" w:rsidRDefault="000137FD" w:rsidP="00E25AEA">
            <w:pPr>
              <w:pStyle w:val="CETBodytext"/>
              <w:rPr>
                <w:lang w:val="en-GB"/>
              </w:rPr>
            </w:pPr>
            <w:r>
              <w:rPr>
                <w:lang w:val="en-GB"/>
              </w:rPr>
              <w:t>Species</w:t>
            </w:r>
            <w:r w:rsidRPr="00B57B36">
              <w:rPr>
                <w:lang w:val="en-GB"/>
              </w:rPr>
              <w:t xml:space="preserve"> </w:t>
            </w:r>
          </w:p>
        </w:tc>
        <w:tc>
          <w:tcPr>
            <w:tcW w:w="1134" w:type="dxa"/>
            <w:tcBorders>
              <w:top w:val="single" w:sz="12" w:space="0" w:color="008000"/>
              <w:bottom w:val="single" w:sz="6" w:space="0" w:color="008000"/>
            </w:tcBorders>
            <w:shd w:val="clear" w:color="auto" w:fill="FFFFFF"/>
          </w:tcPr>
          <w:p w14:paraId="3DC2FB80" w14:textId="77777777" w:rsidR="00630EF7" w:rsidRDefault="000137FD" w:rsidP="00E25AEA">
            <w:pPr>
              <w:pStyle w:val="CETBodytext"/>
              <w:rPr>
                <w:lang w:val="en-GB"/>
              </w:rPr>
            </w:pPr>
            <w:r>
              <w:rPr>
                <w:lang w:val="en-GB"/>
              </w:rPr>
              <w:t xml:space="preserve">Real </w:t>
            </w:r>
          </w:p>
          <w:p w14:paraId="093A0DE2" w14:textId="2175C2E8" w:rsidR="000137FD" w:rsidRDefault="000137FD" w:rsidP="00E25AEA">
            <w:pPr>
              <w:pStyle w:val="CETBodytext"/>
              <w:rPr>
                <w:lang w:val="en-GB"/>
              </w:rPr>
            </w:pPr>
            <w:r>
              <w:rPr>
                <w:lang w:val="en-GB"/>
              </w:rPr>
              <w:t>Syngas</w:t>
            </w:r>
          </w:p>
          <w:p w14:paraId="3467CC94" w14:textId="55068C82" w:rsidR="000137FD" w:rsidRPr="00B57B36" w:rsidRDefault="000137FD" w:rsidP="00E25AEA">
            <w:pPr>
              <w:pStyle w:val="CETBodytext"/>
              <w:rPr>
                <w:lang w:val="en-GB"/>
              </w:rPr>
            </w:pPr>
            <w:r>
              <w:rPr>
                <w:lang w:val="en-GB"/>
              </w:rPr>
              <w:t>vol%</w:t>
            </w:r>
          </w:p>
        </w:tc>
        <w:tc>
          <w:tcPr>
            <w:tcW w:w="1134" w:type="dxa"/>
            <w:tcBorders>
              <w:top w:val="single" w:sz="12" w:space="0" w:color="008000"/>
              <w:bottom w:val="single" w:sz="6" w:space="0" w:color="008000"/>
            </w:tcBorders>
            <w:shd w:val="clear" w:color="auto" w:fill="FFFFFF"/>
          </w:tcPr>
          <w:p w14:paraId="5078AD7D" w14:textId="251C95AC" w:rsidR="000137FD" w:rsidRDefault="000137FD" w:rsidP="00E25AEA">
            <w:pPr>
              <w:pStyle w:val="CETBodytext"/>
              <w:rPr>
                <w:lang w:val="en-GB"/>
              </w:rPr>
            </w:pPr>
            <w:r>
              <w:rPr>
                <w:lang w:val="en-GB"/>
              </w:rPr>
              <w:t>Synthetic Syngas</w:t>
            </w:r>
            <w:r w:rsidR="002F3D2D">
              <w:rPr>
                <w:lang w:val="en-GB"/>
              </w:rPr>
              <w:t xml:space="preserve"> S1</w:t>
            </w:r>
          </w:p>
          <w:p w14:paraId="0D2011A0" w14:textId="7E96E208" w:rsidR="000137FD" w:rsidRPr="00B57B36" w:rsidRDefault="00630EF7" w:rsidP="00E25AEA">
            <w:pPr>
              <w:pStyle w:val="CETBodytext"/>
              <w:rPr>
                <w:lang w:val="en-GB"/>
              </w:rPr>
            </w:pPr>
            <w:r>
              <w:rPr>
                <w:lang w:val="en-GB"/>
              </w:rPr>
              <w:t>v</w:t>
            </w:r>
            <w:r w:rsidR="000137FD">
              <w:rPr>
                <w:lang w:val="en-GB"/>
              </w:rPr>
              <w:t>ol%</w:t>
            </w:r>
          </w:p>
        </w:tc>
        <w:tc>
          <w:tcPr>
            <w:tcW w:w="1134" w:type="dxa"/>
            <w:tcBorders>
              <w:top w:val="single" w:sz="12" w:space="0" w:color="008000"/>
              <w:bottom w:val="single" w:sz="6" w:space="0" w:color="008000"/>
            </w:tcBorders>
            <w:shd w:val="clear" w:color="auto" w:fill="FFFFFF"/>
          </w:tcPr>
          <w:p w14:paraId="1B56FE4E" w14:textId="77777777" w:rsidR="00630EF7" w:rsidRDefault="000137FD" w:rsidP="00E25AEA">
            <w:pPr>
              <w:pStyle w:val="CETBodytext"/>
              <w:ind w:right="-1"/>
              <w:rPr>
                <w:rFonts w:cs="Arial"/>
                <w:szCs w:val="18"/>
                <w:lang w:val="en-GB"/>
              </w:rPr>
            </w:pPr>
            <w:r>
              <w:rPr>
                <w:rFonts w:cs="Arial"/>
                <w:szCs w:val="18"/>
                <w:lang w:val="en-GB"/>
              </w:rPr>
              <w:t xml:space="preserve">Purge </w:t>
            </w:r>
          </w:p>
          <w:p w14:paraId="234BFA2F" w14:textId="612EF360" w:rsidR="00630EF7" w:rsidRDefault="002F3D2D" w:rsidP="00E25AEA">
            <w:pPr>
              <w:pStyle w:val="CETBodytext"/>
              <w:ind w:right="-1"/>
              <w:rPr>
                <w:rFonts w:cs="Arial"/>
                <w:szCs w:val="18"/>
                <w:lang w:val="en-GB"/>
              </w:rPr>
            </w:pPr>
            <w:r>
              <w:rPr>
                <w:rFonts w:cs="Arial"/>
                <w:szCs w:val="18"/>
                <w:lang w:val="en-GB"/>
              </w:rPr>
              <w:t xml:space="preserve">Gas </w:t>
            </w:r>
            <w:r w:rsidR="0088306E">
              <w:rPr>
                <w:rFonts w:cs="Arial"/>
                <w:szCs w:val="18"/>
                <w:lang w:val="en-GB"/>
              </w:rPr>
              <w:t>S</w:t>
            </w:r>
            <w:r>
              <w:rPr>
                <w:rFonts w:cs="Arial"/>
                <w:szCs w:val="18"/>
                <w:lang w:val="en-GB"/>
              </w:rPr>
              <w:t>2</w:t>
            </w:r>
          </w:p>
          <w:p w14:paraId="2250E205" w14:textId="3646F537" w:rsidR="00630EF7" w:rsidRPr="00B57B36" w:rsidRDefault="00630EF7" w:rsidP="00E25AEA">
            <w:pPr>
              <w:pStyle w:val="CETBodytext"/>
              <w:ind w:right="-1"/>
              <w:rPr>
                <w:rFonts w:cs="Arial"/>
                <w:szCs w:val="18"/>
                <w:lang w:val="en-GB"/>
              </w:rPr>
            </w:pPr>
            <w:r>
              <w:rPr>
                <w:rFonts w:cs="Arial"/>
                <w:szCs w:val="18"/>
                <w:lang w:val="en-GB"/>
              </w:rPr>
              <w:t>vol%</w:t>
            </w:r>
          </w:p>
        </w:tc>
        <w:tc>
          <w:tcPr>
            <w:tcW w:w="1134" w:type="dxa"/>
            <w:tcBorders>
              <w:top w:val="single" w:sz="12" w:space="0" w:color="008000"/>
              <w:bottom w:val="single" w:sz="6" w:space="0" w:color="008000"/>
            </w:tcBorders>
            <w:shd w:val="clear" w:color="auto" w:fill="FFFFFF"/>
          </w:tcPr>
          <w:p w14:paraId="5927EC7A" w14:textId="77777777" w:rsidR="00630EF7" w:rsidRDefault="000137FD" w:rsidP="00E25AEA">
            <w:pPr>
              <w:pStyle w:val="CETBodytext"/>
              <w:ind w:right="-1"/>
              <w:rPr>
                <w:rFonts w:cs="Arial"/>
                <w:szCs w:val="18"/>
                <w:lang w:val="en-GB"/>
              </w:rPr>
            </w:pPr>
            <w:r>
              <w:rPr>
                <w:rFonts w:cs="Arial"/>
                <w:szCs w:val="18"/>
                <w:lang w:val="en-GB"/>
              </w:rPr>
              <w:t xml:space="preserve">Purge </w:t>
            </w:r>
          </w:p>
          <w:p w14:paraId="104B0C84" w14:textId="12A908FA" w:rsidR="00630EF7" w:rsidRDefault="002F3D2D" w:rsidP="00E25AEA">
            <w:pPr>
              <w:pStyle w:val="CETBodytext"/>
              <w:ind w:right="-1"/>
              <w:rPr>
                <w:rFonts w:cs="Arial"/>
                <w:szCs w:val="18"/>
                <w:lang w:val="en-GB"/>
              </w:rPr>
            </w:pPr>
            <w:r>
              <w:rPr>
                <w:rFonts w:cs="Arial"/>
                <w:szCs w:val="18"/>
                <w:lang w:val="en-GB"/>
              </w:rPr>
              <w:t xml:space="preserve">Gas </w:t>
            </w:r>
            <w:r w:rsidR="0088306E">
              <w:rPr>
                <w:rFonts w:cs="Arial"/>
                <w:szCs w:val="18"/>
                <w:lang w:val="en-GB"/>
              </w:rPr>
              <w:t>S</w:t>
            </w:r>
            <w:r>
              <w:rPr>
                <w:rFonts w:cs="Arial"/>
                <w:szCs w:val="18"/>
                <w:lang w:val="en-GB"/>
              </w:rPr>
              <w:t>3</w:t>
            </w:r>
          </w:p>
          <w:p w14:paraId="13FBAAD1" w14:textId="06D4F721" w:rsidR="00630EF7" w:rsidRPr="00B57B36" w:rsidRDefault="00630EF7" w:rsidP="00E25AEA">
            <w:pPr>
              <w:pStyle w:val="CETBodytext"/>
              <w:ind w:right="-1"/>
              <w:rPr>
                <w:rFonts w:cs="Arial"/>
                <w:szCs w:val="18"/>
                <w:lang w:val="en-GB"/>
              </w:rPr>
            </w:pPr>
            <w:r>
              <w:rPr>
                <w:rFonts w:cs="Arial"/>
                <w:szCs w:val="18"/>
                <w:lang w:val="en-GB"/>
              </w:rPr>
              <w:t>vol%</w:t>
            </w:r>
          </w:p>
        </w:tc>
      </w:tr>
      <w:tr w:rsidR="000137FD" w:rsidRPr="00B57B36" w14:paraId="4CCD0D43" w14:textId="77777777" w:rsidTr="0049375B">
        <w:trPr>
          <w:jc w:val="center"/>
        </w:trPr>
        <w:tc>
          <w:tcPr>
            <w:tcW w:w="1134" w:type="dxa"/>
            <w:shd w:val="clear" w:color="auto" w:fill="FFFFFF"/>
          </w:tcPr>
          <w:p w14:paraId="1AC552E2" w14:textId="22773A3D" w:rsidR="000137FD" w:rsidRDefault="000137FD" w:rsidP="00E25AEA">
            <w:pPr>
              <w:pStyle w:val="CETBodytext"/>
              <w:rPr>
                <w:lang w:val="en-GB"/>
              </w:rPr>
            </w:pPr>
            <w:r>
              <w:rPr>
                <w:lang w:val="en-GB"/>
              </w:rPr>
              <w:t>CO</w:t>
            </w:r>
          </w:p>
          <w:p w14:paraId="67131CBA" w14:textId="507D36A8" w:rsidR="000137FD" w:rsidRDefault="000137FD" w:rsidP="00E25AEA">
            <w:pPr>
              <w:pStyle w:val="CETBodytext"/>
              <w:rPr>
                <w:lang w:val="en-GB"/>
              </w:rPr>
            </w:pPr>
            <w:r>
              <w:rPr>
                <w:lang w:val="en-GB"/>
              </w:rPr>
              <w:t>CO</w:t>
            </w:r>
            <w:r w:rsidRPr="0088306E">
              <w:rPr>
                <w:vertAlign w:val="subscript"/>
                <w:lang w:val="en-GB"/>
              </w:rPr>
              <w:t>2</w:t>
            </w:r>
          </w:p>
          <w:p w14:paraId="7D0BAE14" w14:textId="77777777" w:rsidR="000137FD" w:rsidRDefault="000137FD" w:rsidP="00E25AEA">
            <w:pPr>
              <w:pStyle w:val="CETBodytext"/>
              <w:rPr>
                <w:lang w:val="en-GB"/>
              </w:rPr>
            </w:pPr>
            <w:r>
              <w:rPr>
                <w:lang w:val="en-GB"/>
              </w:rPr>
              <w:t>CH</w:t>
            </w:r>
            <w:r w:rsidRPr="0088306E">
              <w:rPr>
                <w:vertAlign w:val="subscript"/>
                <w:lang w:val="en-GB"/>
              </w:rPr>
              <w:t>4</w:t>
            </w:r>
          </w:p>
          <w:p w14:paraId="580BB679" w14:textId="77777777" w:rsidR="000137FD" w:rsidRDefault="000137FD" w:rsidP="00E25AEA">
            <w:pPr>
              <w:pStyle w:val="CETBodytext"/>
              <w:rPr>
                <w:lang w:val="en-GB"/>
              </w:rPr>
            </w:pPr>
            <w:r>
              <w:rPr>
                <w:lang w:val="en-GB"/>
              </w:rPr>
              <w:t>H</w:t>
            </w:r>
            <w:r w:rsidRPr="0088306E">
              <w:rPr>
                <w:vertAlign w:val="subscript"/>
                <w:lang w:val="en-GB"/>
              </w:rPr>
              <w:t>2</w:t>
            </w:r>
          </w:p>
          <w:p w14:paraId="57FAD4AE" w14:textId="0C88BEB0" w:rsidR="000137FD" w:rsidRPr="00B57B36" w:rsidRDefault="000137FD" w:rsidP="00E25AEA">
            <w:pPr>
              <w:pStyle w:val="CETBodytext"/>
              <w:rPr>
                <w:lang w:val="en-GB"/>
              </w:rPr>
            </w:pPr>
            <w:r>
              <w:rPr>
                <w:lang w:val="en-GB"/>
              </w:rPr>
              <w:t>O</w:t>
            </w:r>
            <w:r w:rsidRPr="0088306E">
              <w:rPr>
                <w:vertAlign w:val="subscript"/>
                <w:lang w:val="en-GB"/>
              </w:rPr>
              <w:t>2</w:t>
            </w:r>
          </w:p>
        </w:tc>
        <w:tc>
          <w:tcPr>
            <w:tcW w:w="1134" w:type="dxa"/>
            <w:shd w:val="clear" w:color="auto" w:fill="FFFFFF"/>
          </w:tcPr>
          <w:p w14:paraId="0A494E1A" w14:textId="77777777" w:rsidR="000137FD" w:rsidRDefault="00630EF7" w:rsidP="00E25AEA">
            <w:pPr>
              <w:pStyle w:val="CETBodytext"/>
              <w:rPr>
                <w:lang w:val="en-GB"/>
              </w:rPr>
            </w:pPr>
            <w:r>
              <w:rPr>
                <w:lang w:val="en-GB"/>
              </w:rPr>
              <w:t>18-19</w:t>
            </w:r>
          </w:p>
          <w:p w14:paraId="0BDE35FE" w14:textId="3680ADB6" w:rsidR="00630EF7" w:rsidRDefault="00630EF7" w:rsidP="00E25AEA">
            <w:pPr>
              <w:pStyle w:val="CETBodytext"/>
              <w:rPr>
                <w:lang w:val="en-GB"/>
              </w:rPr>
            </w:pPr>
            <w:r>
              <w:rPr>
                <w:lang w:val="en-GB"/>
              </w:rPr>
              <w:t xml:space="preserve">     12</w:t>
            </w:r>
          </w:p>
          <w:p w14:paraId="75E0CDAA" w14:textId="77777777" w:rsidR="00630EF7" w:rsidRDefault="00630EF7" w:rsidP="00E25AEA">
            <w:pPr>
              <w:pStyle w:val="CETBodytext"/>
              <w:rPr>
                <w:lang w:val="en-GB"/>
              </w:rPr>
            </w:pPr>
            <w:r>
              <w:rPr>
                <w:lang w:val="en-GB"/>
              </w:rPr>
              <w:t xml:space="preserve">       2.6</w:t>
            </w:r>
          </w:p>
          <w:p w14:paraId="13C2AC54" w14:textId="6E66B954" w:rsidR="00630EF7" w:rsidRDefault="00630EF7" w:rsidP="00E25AEA">
            <w:pPr>
              <w:pStyle w:val="CETBodytext"/>
              <w:rPr>
                <w:lang w:val="en-GB"/>
              </w:rPr>
            </w:pPr>
            <w:r>
              <w:rPr>
                <w:lang w:val="en-GB"/>
              </w:rPr>
              <w:t>12-14</w:t>
            </w:r>
          </w:p>
          <w:p w14:paraId="4CBE05F4" w14:textId="7FBA419A" w:rsidR="00630EF7" w:rsidRPr="00B57B36" w:rsidRDefault="00630EF7" w:rsidP="00E25AEA">
            <w:pPr>
              <w:pStyle w:val="CETBodytext"/>
              <w:rPr>
                <w:lang w:val="en-GB"/>
              </w:rPr>
            </w:pPr>
            <w:r>
              <w:rPr>
                <w:lang w:val="en-GB"/>
              </w:rPr>
              <w:t xml:space="preserve">       0.15</w:t>
            </w:r>
          </w:p>
        </w:tc>
        <w:tc>
          <w:tcPr>
            <w:tcW w:w="1134" w:type="dxa"/>
            <w:shd w:val="clear" w:color="auto" w:fill="FFFFFF"/>
          </w:tcPr>
          <w:p w14:paraId="2438A80A" w14:textId="77777777" w:rsidR="000137FD" w:rsidRDefault="00630EF7" w:rsidP="00E25AEA">
            <w:pPr>
              <w:pStyle w:val="CETBodytext"/>
              <w:rPr>
                <w:lang w:val="en-GB"/>
              </w:rPr>
            </w:pPr>
            <w:r>
              <w:rPr>
                <w:lang w:val="en-GB"/>
              </w:rPr>
              <w:t>19</w:t>
            </w:r>
          </w:p>
          <w:p w14:paraId="54B6D2A6" w14:textId="77777777" w:rsidR="00630EF7" w:rsidRDefault="00630EF7" w:rsidP="00E25AEA">
            <w:pPr>
              <w:pStyle w:val="CETBodytext"/>
              <w:rPr>
                <w:lang w:val="en-GB"/>
              </w:rPr>
            </w:pPr>
            <w:r>
              <w:rPr>
                <w:lang w:val="en-GB"/>
              </w:rPr>
              <w:t>12</w:t>
            </w:r>
          </w:p>
          <w:p w14:paraId="1EF416BB" w14:textId="5F12C7FB" w:rsidR="00630EF7" w:rsidRDefault="00630EF7" w:rsidP="00E25AEA">
            <w:pPr>
              <w:pStyle w:val="CETBodytext"/>
              <w:rPr>
                <w:lang w:val="en-GB"/>
              </w:rPr>
            </w:pPr>
            <w:r>
              <w:rPr>
                <w:lang w:val="en-GB"/>
              </w:rPr>
              <w:t xml:space="preserve">  3</w:t>
            </w:r>
          </w:p>
          <w:p w14:paraId="223ADF4A" w14:textId="77777777" w:rsidR="00630EF7" w:rsidRDefault="00630EF7" w:rsidP="00E25AEA">
            <w:pPr>
              <w:pStyle w:val="CETBodytext"/>
              <w:rPr>
                <w:lang w:val="en-GB"/>
              </w:rPr>
            </w:pPr>
            <w:r>
              <w:rPr>
                <w:lang w:val="en-GB"/>
              </w:rPr>
              <w:t>14</w:t>
            </w:r>
          </w:p>
          <w:p w14:paraId="30F74D50" w14:textId="7A004072" w:rsidR="00630EF7" w:rsidRPr="00B57B36" w:rsidRDefault="00630EF7" w:rsidP="00E25AEA">
            <w:pPr>
              <w:pStyle w:val="CETBodytext"/>
              <w:rPr>
                <w:lang w:val="en-GB"/>
              </w:rPr>
            </w:pPr>
            <w:r>
              <w:rPr>
                <w:lang w:val="en-GB"/>
              </w:rPr>
              <w:t xml:space="preserve">  0</w:t>
            </w:r>
          </w:p>
        </w:tc>
        <w:tc>
          <w:tcPr>
            <w:tcW w:w="1134" w:type="dxa"/>
            <w:shd w:val="clear" w:color="auto" w:fill="FFFFFF"/>
          </w:tcPr>
          <w:p w14:paraId="53D3ADBB" w14:textId="255D6340" w:rsidR="000137FD" w:rsidRDefault="00630EF7" w:rsidP="00E25AEA">
            <w:pPr>
              <w:pStyle w:val="CETBodytext"/>
              <w:ind w:right="-1"/>
              <w:rPr>
                <w:rFonts w:cs="Arial"/>
                <w:szCs w:val="18"/>
                <w:lang w:val="en-GB"/>
              </w:rPr>
            </w:pPr>
            <w:r>
              <w:rPr>
                <w:rFonts w:cs="Arial"/>
                <w:szCs w:val="18"/>
                <w:lang w:val="en-GB"/>
              </w:rPr>
              <w:t xml:space="preserve">  2</w:t>
            </w:r>
          </w:p>
          <w:p w14:paraId="6741A48D" w14:textId="6AF71C94" w:rsidR="00630EF7" w:rsidRDefault="00630EF7" w:rsidP="00E25AEA">
            <w:pPr>
              <w:pStyle w:val="CETBodytext"/>
              <w:ind w:right="-1"/>
              <w:rPr>
                <w:rFonts w:cs="Arial"/>
                <w:szCs w:val="18"/>
                <w:lang w:val="en-GB"/>
              </w:rPr>
            </w:pPr>
            <w:r>
              <w:rPr>
                <w:rFonts w:cs="Arial"/>
                <w:szCs w:val="18"/>
                <w:lang w:val="en-GB"/>
              </w:rPr>
              <w:t xml:space="preserve">  1</w:t>
            </w:r>
          </w:p>
          <w:p w14:paraId="5A73E95F" w14:textId="7DD7222B" w:rsidR="00630EF7" w:rsidRDefault="00630EF7" w:rsidP="00E25AEA">
            <w:pPr>
              <w:pStyle w:val="CETBodytext"/>
              <w:ind w:right="-1"/>
              <w:rPr>
                <w:rFonts w:cs="Arial"/>
                <w:szCs w:val="18"/>
                <w:lang w:val="en-GB"/>
              </w:rPr>
            </w:pPr>
            <w:r>
              <w:rPr>
                <w:rFonts w:cs="Arial"/>
                <w:szCs w:val="18"/>
                <w:lang w:val="en-GB"/>
              </w:rPr>
              <w:t xml:space="preserve">  1</w:t>
            </w:r>
          </w:p>
          <w:p w14:paraId="53EA752B" w14:textId="77777777" w:rsidR="00630EF7" w:rsidRDefault="00630EF7" w:rsidP="00E25AEA">
            <w:pPr>
              <w:pStyle w:val="CETBodytext"/>
              <w:ind w:right="-1"/>
              <w:rPr>
                <w:rFonts w:cs="Arial"/>
                <w:szCs w:val="18"/>
                <w:lang w:val="en-GB"/>
              </w:rPr>
            </w:pPr>
            <w:r>
              <w:rPr>
                <w:rFonts w:cs="Arial"/>
                <w:szCs w:val="18"/>
                <w:lang w:val="en-GB"/>
              </w:rPr>
              <w:t>61</w:t>
            </w:r>
          </w:p>
          <w:p w14:paraId="1A5DD094" w14:textId="51852C2A" w:rsidR="00630EF7" w:rsidRPr="00B57B36" w:rsidRDefault="00630EF7" w:rsidP="00E25AEA">
            <w:pPr>
              <w:pStyle w:val="CETBodytext"/>
              <w:ind w:right="-1"/>
              <w:rPr>
                <w:rFonts w:cs="Arial"/>
                <w:szCs w:val="18"/>
                <w:lang w:val="en-GB"/>
              </w:rPr>
            </w:pPr>
            <w:r>
              <w:rPr>
                <w:rFonts w:cs="Arial"/>
                <w:szCs w:val="18"/>
                <w:lang w:val="en-GB"/>
              </w:rPr>
              <w:t xml:space="preserve">  0</w:t>
            </w:r>
          </w:p>
        </w:tc>
        <w:tc>
          <w:tcPr>
            <w:tcW w:w="1134" w:type="dxa"/>
            <w:shd w:val="clear" w:color="auto" w:fill="FFFFFF"/>
          </w:tcPr>
          <w:p w14:paraId="219E1F38" w14:textId="6F3B3180" w:rsidR="000137FD" w:rsidRDefault="00630EF7" w:rsidP="00E25AEA">
            <w:pPr>
              <w:pStyle w:val="CETBodytext"/>
              <w:ind w:right="-1"/>
              <w:rPr>
                <w:rFonts w:cs="Arial"/>
                <w:szCs w:val="18"/>
                <w:lang w:val="en-GB"/>
              </w:rPr>
            </w:pPr>
            <w:r>
              <w:rPr>
                <w:rFonts w:cs="Arial"/>
                <w:szCs w:val="18"/>
                <w:lang w:val="en-GB"/>
              </w:rPr>
              <w:t xml:space="preserve">  4</w:t>
            </w:r>
          </w:p>
          <w:p w14:paraId="74E7DAF2" w14:textId="54EE3327" w:rsidR="00630EF7" w:rsidRDefault="00630EF7" w:rsidP="00E25AEA">
            <w:pPr>
              <w:pStyle w:val="CETBodytext"/>
              <w:ind w:right="-1"/>
              <w:rPr>
                <w:rFonts w:cs="Arial"/>
                <w:szCs w:val="18"/>
                <w:lang w:val="en-GB"/>
              </w:rPr>
            </w:pPr>
            <w:r>
              <w:rPr>
                <w:rFonts w:cs="Arial"/>
                <w:szCs w:val="18"/>
                <w:lang w:val="en-GB"/>
              </w:rPr>
              <w:t xml:space="preserve">  2</w:t>
            </w:r>
          </w:p>
          <w:p w14:paraId="4D2EFA47" w14:textId="51101AF5" w:rsidR="00630EF7" w:rsidRDefault="00630EF7" w:rsidP="00E25AEA">
            <w:pPr>
              <w:pStyle w:val="CETBodytext"/>
              <w:ind w:right="-1"/>
              <w:rPr>
                <w:rFonts w:cs="Arial"/>
                <w:szCs w:val="18"/>
                <w:lang w:val="en-GB"/>
              </w:rPr>
            </w:pPr>
            <w:r>
              <w:rPr>
                <w:rFonts w:cs="Arial"/>
                <w:szCs w:val="18"/>
                <w:lang w:val="en-GB"/>
              </w:rPr>
              <w:t xml:space="preserve">  0</w:t>
            </w:r>
          </w:p>
          <w:p w14:paraId="2282831D" w14:textId="77777777" w:rsidR="00630EF7" w:rsidRDefault="00630EF7" w:rsidP="00E25AEA">
            <w:pPr>
              <w:pStyle w:val="CETBodytext"/>
              <w:ind w:right="-1"/>
              <w:rPr>
                <w:rFonts w:cs="Arial"/>
                <w:szCs w:val="18"/>
                <w:lang w:val="en-GB"/>
              </w:rPr>
            </w:pPr>
            <w:r>
              <w:rPr>
                <w:rFonts w:cs="Arial"/>
                <w:szCs w:val="18"/>
                <w:lang w:val="en-GB"/>
              </w:rPr>
              <w:t>90</w:t>
            </w:r>
          </w:p>
          <w:p w14:paraId="1C17816E" w14:textId="44961EF6" w:rsidR="00630EF7" w:rsidRPr="00B57B36" w:rsidRDefault="00630EF7" w:rsidP="00E25AEA">
            <w:pPr>
              <w:pStyle w:val="CETBodytext"/>
              <w:ind w:right="-1"/>
              <w:rPr>
                <w:rFonts w:cs="Arial"/>
                <w:szCs w:val="18"/>
                <w:lang w:val="en-GB"/>
              </w:rPr>
            </w:pPr>
            <w:r>
              <w:rPr>
                <w:rFonts w:cs="Arial"/>
                <w:szCs w:val="18"/>
                <w:lang w:val="en-GB"/>
              </w:rPr>
              <w:t xml:space="preserve">  0</w:t>
            </w:r>
          </w:p>
        </w:tc>
      </w:tr>
      <w:tr w:rsidR="000137FD" w:rsidRPr="00B57B36" w14:paraId="460880E2" w14:textId="77777777" w:rsidTr="0049375B">
        <w:trPr>
          <w:jc w:val="center"/>
        </w:trPr>
        <w:tc>
          <w:tcPr>
            <w:tcW w:w="1134" w:type="dxa"/>
            <w:shd w:val="clear" w:color="auto" w:fill="FFFFFF"/>
          </w:tcPr>
          <w:p w14:paraId="718294EF" w14:textId="0CC2F480" w:rsidR="000137FD" w:rsidRPr="00B57B36" w:rsidRDefault="000137FD" w:rsidP="00E25AEA">
            <w:pPr>
              <w:pStyle w:val="CETBodytext"/>
              <w:ind w:right="-1"/>
              <w:rPr>
                <w:rFonts w:cs="Arial"/>
                <w:szCs w:val="18"/>
                <w:lang w:val="en-GB"/>
              </w:rPr>
            </w:pPr>
            <w:r>
              <w:rPr>
                <w:rFonts w:cs="Arial"/>
                <w:szCs w:val="18"/>
                <w:lang w:val="en-GB"/>
              </w:rPr>
              <w:t>N</w:t>
            </w:r>
            <w:r w:rsidRPr="0088306E">
              <w:rPr>
                <w:rFonts w:cs="Arial"/>
                <w:szCs w:val="18"/>
                <w:vertAlign w:val="subscript"/>
                <w:lang w:val="en-GB"/>
              </w:rPr>
              <w:t>2</w:t>
            </w:r>
          </w:p>
        </w:tc>
        <w:tc>
          <w:tcPr>
            <w:tcW w:w="1134" w:type="dxa"/>
            <w:shd w:val="clear" w:color="auto" w:fill="FFFFFF"/>
          </w:tcPr>
          <w:p w14:paraId="39988D9C" w14:textId="77CA9C91" w:rsidR="000137FD" w:rsidRPr="00B57B36" w:rsidRDefault="00630EF7" w:rsidP="00E25AEA">
            <w:pPr>
              <w:pStyle w:val="CETBodytext"/>
              <w:ind w:right="-1"/>
              <w:rPr>
                <w:rFonts w:cs="Arial"/>
                <w:szCs w:val="18"/>
                <w:lang w:val="en-GB"/>
              </w:rPr>
            </w:pPr>
            <w:r>
              <w:rPr>
                <w:rFonts w:cs="Arial"/>
                <w:szCs w:val="18"/>
                <w:lang w:val="en-GB"/>
              </w:rPr>
              <w:t>51-52</w:t>
            </w:r>
          </w:p>
        </w:tc>
        <w:tc>
          <w:tcPr>
            <w:tcW w:w="1134" w:type="dxa"/>
            <w:shd w:val="clear" w:color="auto" w:fill="FFFFFF"/>
          </w:tcPr>
          <w:p w14:paraId="2C7D6C05" w14:textId="7B9E3372" w:rsidR="000137FD" w:rsidRPr="00B57B36" w:rsidRDefault="00630EF7" w:rsidP="00E25AEA">
            <w:pPr>
              <w:pStyle w:val="CETBodytext"/>
              <w:ind w:right="-1"/>
              <w:rPr>
                <w:rFonts w:cs="Arial"/>
                <w:szCs w:val="18"/>
                <w:lang w:val="en-GB"/>
              </w:rPr>
            </w:pPr>
            <w:r>
              <w:rPr>
                <w:rFonts w:cs="Arial"/>
                <w:szCs w:val="18"/>
                <w:lang w:val="en-GB"/>
              </w:rPr>
              <w:t>52</w:t>
            </w:r>
          </w:p>
        </w:tc>
        <w:tc>
          <w:tcPr>
            <w:tcW w:w="1134" w:type="dxa"/>
            <w:shd w:val="clear" w:color="auto" w:fill="FFFFFF"/>
          </w:tcPr>
          <w:p w14:paraId="62A5C731" w14:textId="451F74A7" w:rsidR="000137FD" w:rsidRPr="00B57B36" w:rsidRDefault="00630EF7" w:rsidP="00E25AEA">
            <w:pPr>
              <w:pStyle w:val="CETBodytext"/>
              <w:ind w:right="-1"/>
              <w:rPr>
                <w:rFonts w:cs="Arial"/>
                <w:szCs w:val="18"/>
                <w:lang w:val="en-GB"/>
              </w:rPr>
            </w:pPr>
            <w:r>
              <w:rPr>
                <w:rFonts w:cs="Arial"/>
                <w:szCs w:val="18"/>
                <w:lang w:val="en-GB"/>
              </w:rPr>
              <w:t>35</w:t>
            </w:r>
          </w:p>
        </w:tc>
        <w:tc>
          <w:tcPr>
            <w:tcW w:w="1134" w:type="dxa"/>
            <w:shd w:val="clear" w:color="auto" w:fill="FFFFFF"/>
          </w:tcPr>
          <w:p w14:paraId="0CD798AB" w14:textId="6EF5790B" w:rsidR="000137FD" w:rsidRPr="00B57B36" w:rsidRDefault="00630EF7" w:rsidP="00E25AEA">
            <w:pPr>
              <w:pStyle w:val="CETBodytext"/>
              <w:ind w:right="-1"/>
              <w:rPr>
                <w:rFonts w:cs="Arial"/>
                <w:szCs w:val="18"/>
                <w:lang w:val="en-GB"/>
              </w:rPr>
            </w:pPr>
            <w:r>
              <w:rPr>
                <w:rFonts w:cs="Arial"/>
                <w:szCs w:val="18"/>
                <w:lang w:val="en-GB"/>
              </w:rPr>
              <w:t xml:space="preserve">  4</w:t>
            </w:r>
          </w:p>
        </w:tc>
      </w:tr>
    </w:tbl>
    <w:p w14:paraId="4B9F0466" w14:textId="77777777" w:rsidR="0088306E" w:rsidRDefault="0088306E">
      <w:pPr>
        <w:tabs>
          <w:tab w:val="clear" w:pos="7100"/>
        </w:tabs>
        <w:spacing w:after="200" w:line="276" w:lineRule="auto"/>
        <w:jc w:val="left"/>
      </w:pPr>
    </w:p>
    <w:p w14:paraId="14AB0D30" w14:textId="06298A34" w:rsidR="008A3021" w:rsidRDefault="0088306E">
      <w:pPr>
        <w:tabs>
          <w:tab w:val="clear" w:pos="7100"/>
        </w:tabs>
        <w:spacing w:after="200" w:line="276" w:lineRule="auto"/>
        <w:jc w:val="left"/>
      </w:pPr>
      <w:r>
        <w:t>In the studies planned</w:t>
      </w:r>
      <w:r w:rsidR="007278B6">
        <w:t>,</w:t>
      </w:r>
      <w:r>
        <w:t xml:space="preserve"> the concept for how the PSA scheme might be developed is illustrated in Figure 3a. Trials with the long PSA bed started with a feed of Synthetic Syngas</w:t>
      </w:r>
      <w:r w:rsidR="002F3D2D">
        <w:t xml:space="preserve"> S1</w:t>
      </w:r>
      <w:r w:rsidR="008A3021">
        <w:t>.</w:t>
      </w:r>
      <w:r>
        <w:t xml:space="preserve"> </w:t>
      </w:r>
      <w:r w:rsidR="008A3021">
        <w:t>T</w:t>
      </w:r>
      <w:r>
        <w:t xml:space="preserve">he results of a trial with and without a back-purge step using </w:t>
      </w:r>
      <w:r w:rsidR="008A3021">
        <w:t xml:space="preserve">a </w:t>
      </w:r>
      <w:r>
        <w:t>synthetic purge</w:t>
      </w:r>
      <w:r w:rsidR="00FE43CD">
        <w:t xml:space="preserve"> S</w:t>
      </w:r>
      <w:r w:rsidR="002F3D2D">
        <w:t>2</w:t>
      </w:r>
      <w:r w:rsidR="00FE43CD">
        <w:t>,</w:t>
      </w:r>
      <w:r>
        <w:t xml:space="preserve"> are shown in Figure 4a.</w:t>
      </w:r>
      <w:r w:rsidR="00FE43CD">
        <w:t xml:space="preserve"> </w:t>
      </w:r>
      <w:r w:rsidR="00C2528C">
        <w:t>Looking at the results,</w:t>
      </w:r>
      <w:r w:rsidR="00FE43CD">
        <w:t xml:space="preserve"> </w:t>
      </w:r>
      <w:r w:rsidR="00C2528C">
        <w:t>the</w:t>
      </w:r>
      <w:r w:rsidR="00FE43CD">
        <w:t xml:space="preserve"> presence of a back-purge makes a </w:t>
      </w:r>
      <w:r w:rsidR="00C2528C">
        <w:t xml:space="preserve">huge </w:t>
      </w:r>
      <w:r w:rsidR="00FE43CD">
        <w:t xml:space="preserve">difference </w:t>
      </w:r>
      <w:r w:rsidR="00C2528C">
        <w:t>in</w:t>
      </w:r>
      <w:r w:rsidR="00FE43CD">
        <w:t xml:space="preserve"> H</w:t>
      </w:r>
      <w:r w:rsidR="00FE43CD" w:rsidRPr="00FE43CD">
        <w:rPr>
          <w:vertAlign w:val="subscript"/>
        </w:rPr>
        <w:t>2</w:t>
      </w:r>
      <w:r w:rsidR="00FE43CD">
        <w:t xml:space="preserve"> </w:t>
      </w:r>
      <w:r w:rsidR="00C2528C">
        <w:t xml:space="preserve">purity </w:t>
      </w:r>
      <w:r w:rsidR="00FE43CD">
        <w:t>obtained. The effect of an increase in the duration of the back-purge is illustrated in Figure 4b. Although duration of product output at a high purity is increased, it is at the expense of using H</w:t>
      </w:r>
      <w:r w:rsidR="00FE43CD" w:rsidRPr="00FE43CD">
        <w:rPr>
          <w:vertAlign w:val="subscript"/>
        </w:rPr>
        <w:t>2</w:t>
      </w:r>
      <w:r w:rsidR="00FE43CD">
        <w:t xml:space="preserve"> in the back-purge. The </w:t>
      </w:r>
      <w:r w:rsidR="008A3021">
        <w:t xml:space="preserve">gain in product from the </w:t>
      </w:r>
      <w:r w:rsidR="00FE43CD">
        <w:t>use of H</w:t>
      </w:r>
      <w:r w:rsidR="00FE43CD" w:rsidRPr="00FE43CD">
        <w:rPr>
          <w:vertAlign w:val="subscript"/>
        </w:rPr>
        <w:t>2</w:t>
      </w:r>
      <w:r w:rsidR="00FE43CD">
        <w:t xml:space="preserve"> in the back-purge needs to be </w:t>
      </w:r>
      <w:r w:rsidR="008A3021">
        <w:t xml:space="preserve">balanced with </w:t>
      </w:r>
      <w:r w:rsidR="00FE43CD">
        <w:t>product loss. From an operational perspective, the system can be designed such that a large portion of the H</w:t>
      </w:r>
      <w:r w:rsidR="00FE43CD" w:rsidRPr="00FE43CD">
        <w:rPr>
          <w:vertAlign w:val="subscript"/>
        </w:rPr>
        <w:t>2</w:t>
      </w:r>
      <w:r w:rsidR="00FE43CD">
        <w:t xml:space="preserve"> in the purge gas</w:t>
      </w:r>
      <w:r w:rsidR="008A3021">
        <w:t xml:space="preserve"> stream</w:t>
      </w:r>
      <w:r w:rsidR="00FE43CD">
        <w:t xml:space="preserve"> can be retained in the bed and not lost</w:t>
      </w:r>
      <w:r w:rsidR="007278B6">
        <w:t>, and</w:t>
      </w:r>
      <w:r w:rsidR="00FE1414">
        <w:t xml:space="preserve"> then</w:t>
      </w:r>
      <w:r w:rsidR="007278B6">
        <w:t xml:space="preserve"> that H</w:t>
      </w:r>
      <w:r w:rsidR="007278B6" w:rsidRPr="008A3021">
        <w:rPr>
          <w:vertAlign w:val="subscript"/>
        </w:rPr>
        <w:t>2</w:t>
      </w:r>
      <w:r w:rsidR="007278B6">
        <w:t xml:space="preserve"> features in the product from the PSA cycle that follows</w:t>
      </w:r>
      <w:r w:rsidR="00FE43CD">
        <w:t>.</w:t>
      </w:r>
    </w:p>
    <w:p w14:paraId="7C513C2D" w14:textId="4B85536A" w:rsidR="00040E25" w:rsidRDefault="008A3021">
      <w:pPr>
        <w:tabs>
          <w:tab w:val="clear" w:pos="7100"/>
        </w:tabs>
        <w:spacing w:after="200" w:line="276" w:lineRule="auto"/>
        <w:jc w:val="left"/>
      </w:pPr>
      <w:r>
        <w:lastRenderedPageBreak/>
        <w:t xml:space="preserve">In the trials in Figure 5a, the operating pressure has been increased from 5 to 8 </w:t>
      </w:r>
      <w:proofErr w:type="spellStart"/>
      <w:r>
        <w:t>barg</w:t>
      </w:r>
      <w:proofErr w:type="spellEnd"/>
      <w:r w:rsidR="00FE1414">
        <w:t>. Hence</w:t>
      </w:r>
      <w:r>
        <w:t xml:space="preserve"> much higher H</w:t>
      </w:r>
      <w:r w:rsidRPr="008A3021">
        <w:rPr>
          <w:vertAlign w:val="subscript"/>
        </w:rPr>
        <w:t>2</w:t>
      </w:r>
      <w:r>
        <w:t xml:space="preserve"> purity is being achieved</w:t>
      </w:r>
      <w:r w:rsidR="00FE1414">
        <w:t xml:space="preserve"> </w:t>
      </w:r>
      <w:r>
        <w:t xml:space="preserve">and </w:t>
      </w:r>
      <w:r w:rsidR="00FE1414">
        <w:t xml:space="preserve">even </w:t>
      </w:r>
      <w:r>
        <w:t>without a back-purge</w:t>
      </w:r>
      <w:r w:rsidR="00FE1414">
        <w:t>, greater than</w:t>
      </w:r>
      <w:r>
        <w:t xml:space="preserve"> 60 vol% is being reached</w:t>
      </w:r>
      <w:r w:rsidR="00FE1414">
        <w:t>. This</w:t>
      </w:r>
      <w:r>
        <w:t xml:space="preserve"> </w:t>
      </w:r>
      <w:r w:rsidR="0085685A">
        <w:t>fulfils</w:t>
      </w:r>
      <w:r>
        <w:t xml:space="preserve"> the design strategy illustrated in Figure 3a for the 1</w:t>
      </w:r>
      <w:r w:rsidRPr="008A3021">
        <w:rPr>
          <w:vertAlign w:val="superscript"/>
        </w:rPr>
        <w:t>st</w:t>
      </w:r>
      <w:r>
        <w:t xml:space="preserve"> Stage PSA</w:t>
      </w:r>
      <w:r w:rsidR="00040E25">
        <w:t xml:space="preserve">. By not utilising a back-purge step, time is saved in the PSA cycle, </w:t>
      </w:r>
      <w:r w:rsidR="00C2528C">
        <w:t>and</w:t>
      </w:r>
      <w:r w:rsidR="00040E25">
        <w:t xml:space="preserve"> product is not used for the back-purge.</w:t>
      </w:r>
    </w:p>
    <w:p w14:paraId="63917BBD" w14:textId="77777777" w:rsidR="000137FD" w:rsidRDefault="000137FD" w:rsidP="00B50A56">
      <w:pPr>
        <w:pStyle w:val="CETBodytext"/>
        <w:rPr>
          <w:lang w:val="en-GB"/>
        </w:rPr>
      </w:pPr>
    </w:p>
    <w:p w14:paraId="207057BF" w14:textId="5B43D244" w:rsidR="00734E7E" w:rsidRPr="00410F36" w:rsidRDefault="00410F36" w:rsidP="00B50A56">
      <w:pPr>
        <w:pStyle w:val="CETBodytext"/>
        <w:rPr>
          <w:lang w:val="en-GB"/>
        </w:rPr>
      </w:pPr>
      <w:r>
        <w:rPr>
          <w:noProof/>
        </w:rPr>
        <w:drawing>
          <wp:inline distT="0" distB="0" distL="0" distR="0" wp14:anchorId="53E65391" wp14:editId="3FC7C5CA">
            <wp:extent cx="5092700" cy="286482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109734" cy="2874407"/>
                    </a:xfrm>
                    <a:prstGeom prst="rect">
                      <a:avLst/>
                    </a:prstGeom>
                  </pic:spPr>
                </pic:pic>
              </a:graphicData>
            </a:graphic>
          </wp:inline>
        </w:drawing>
      </w:r>
    </w:p>
    <w:p w14:paraId="0A4AF20C" w14:textId="08475D6B" w:rsidR="0039329F" w:rsidRPr="0039329F" w:rsidRDefault="0039329F" w:rsidP="0039329F">
      <w:pPr>
        <w:pStyle w:val="CETBodytext"/>
        <w:ind w:left="2565"/>
        <w:rPr>
          <w:i/>
          <w:iCs/>
          <w:sz w:val="24"/>
          <w:szCs w:val="24"/>
          <w:lang w:val="en-GB"/>
        </w:rPr>
      </w:pPr>
      <w:bookmarkStart w:id="5" w:name="_Hlk128581301"/>
      <w:r w:rsidRPr="0039329F">
        <w:rPr>
          <w:i/>
          <w:iCs/>
          <w:sz w:val="24"/>
          <w:szCs w:val="24"/>
          <w:lang w:val="en-GB"/>
        </w:rPr>
        <w:t>(a)                                                     (b)</w:t>
      </w:r>
    </w:p>
    <w:p w14:paraId="1EBC2E5A" w14:textId="3EC0FF4D" w:rsidR="00697FEF" w:rsidRDefault="00734E7E" w:rsidP="00B50A56">
      <w:pPr>
        <w:pStyle w:val="CETBodytext"/>
        <w:rPr>
          <w:lang w:val="en-GB"/>
        </w:rPr>
      </w:pPr>
      <w:r w:rsidRPr="00A61A1A">
        <w:rPr>
          <w:i/>
          <w:iCs/>
          <w:lang w:val="en-GB"/>
        </w:rPr>
        <w:t xml:space="preserve">Figure </w:t>
      </w:r>
      <w:r>
        <w:rPr>
          <w:i/>
          <w:iCs/>
          <w:lang w:val="en-GB"/>
        </w:rPr>
        <w:t>3</w:t>
      </w:r>
      <w:r w:rsidRPr="00A61A1A">
        <w:rPr>
          <w:i/>
          <w:iCs/>
          <w:lang w:val="en-GB"/>
        </w:rPr>
        <w:t xml:space="preserve">: </w:t>
      </w:r>
      <w:r w:rsidR="0039329F">
        <w:rPr>
          <w:i/>
          <w:iCs/>
          <w:lang w:val="en-GB"/>
        </w:rPr>
        <w:t>Twin-bed PSA - (a) s</w:t>
      </w:r>
      <w:r w:rsidRPr="00A61A1A">
        <w:rPr>
          <w:i/>
          <w:iCs/>
          <w:lang w:val="en-GB"/>
        </w:rPr>
        <w:t xml:space="preserve">chematic </w:t>
      </w:r>
      <w:r>
        <w:rPr>
          <w:i/>
          <w:iCs/>
          <w:lang w:val="en-GB"/>
        </w:rPr>
        <w:t>illustrat</w:t>
      </w:r>
      <w:r w:rsidR="0039329F">
        <w:rPr>
          <w:i/>
          <w:iCs/>
          <w:lang w:val="en-GB"/>
        </w:rPr>
        <w:t>ing</w:t>
      </w:r>
      <w:r>
        <w:rPr>
          <w:i/>
          <w:iCs/>
          <w:lang w:val="en-GB"/>
        </w:rPr>
        <w:t xml:space="preserve"> the </w:t>
      </w:r>
      <w:r w:rsidR="0039329F">
        <w:rPr>
          <w:i/>
          <w:iCs/>
          <w:lang w:val="en-GB"/>
        </w:rPr>
        <w:t>T</w:t>
      </w:r>
      <w:r>
        <w:rPr>
          <w:i/>
          <w:iCs/>
          <w:lang w:val="en-GB"/>
        </w:rPr>
        <w:t xml:space="preserve">wo-stage </w:t>
      </w:r>
      <w:r w:rsidR="0039329F">
        <w:rPr>
          <w:i/>
          <w:iCs/>
          <w:lang w:val="en-GB"/>
        </w:rPr>
        <w:t xml:space="preserve">Twin-bed </w:t>
      </w:r>
      <w:r>
        <w:rPr>
          <w:i/>
          <w:iCs/>
          <w:lang w:val="en-GB"/>
        </w:rPr>
        <w:t>PSA scheme which was being developed</w:t>
      </w:r>
      <w:r w:rsidR="0039329F">
        <w:rPr>
          <w:i/>
          <w:iCs/>
          <w:lang w:val="en-GB"/>
        </w:rPr>
        <w:t>, and (b) photograph of one Twin-bed PSA (</w:t>
      </w:r>
      <w:r w:rsidR="00B14BA4">
        <w:rPr>
          <w:i/>
          <w:iCs/>
          <w:lang w:val="en-GB"/>
        </w:rPr>
        <w:t xml:space="preserve">two </w:t>
      </w:r>
      <w:r w:rsidR="0039329F">
        <w:rPr>
          <w:i/>
          <w:iCs/>
          <w:lang w:val="en-GB"/>
        </w:rPr>
        <w:t>blue</w:t>
      </w:r>
      <w:r w:rsidR="00B14BA4">
        <w:rPr>
          <w:i/>
          <w:iCs/>
          <w:lang w:val="en-GB"/>
        </w:rPr>
        <w:t>-vessels</w:t>
      </w:r>
      <w:r w:rsidR="0039329F">
        <w:rPr>
          <w:i/>
          <w:iCs/>
          <w:lang w:val="en-GB"/>
        </w:rPr>
        <w:t xml:space="preserve"> in centre) used in the trials described in this paper (thinner grey vessel on right, is a</w:t>
      </w:r>
      <w:r w:rsidR="00B14BA4">
        <w:rPr>
          <w:i/>
          <w:iCs/>
          <w:lang w:val="en-GB"/>
        </w:rPr>
        <w:t xml:space="preserve"> syn</w:t>
      </w:r>
      <w:r w:rsidR="0039329F">
        <w:rPr>
          <w:i/>
          <w:iCs/>
          <w:lang w:val="en-GB"/>
        </w:rPr>
        <w:t>gas chiller, to cool the gas before the PSA beds).</w:t>
      </w:r>
      <w:bookmarkEnd w:id="5"/>
    </w:p>
    <w:p w14:paraId="39FF7C8E" w14:textId="195A226A" w:rsidR="00697FEF" w:rsidRDefault="00697FEF" w:rsidP="00B50A56">
      <w:pPr>
        <w:pStyle w:val="CETBodytext"/>
        <w:rPr>
          <w:lang w:val="en-GB"/>
        </w:rPr>
      </w:pPr>
    </w:p>
    <w:p w14:paraId="31E6F348" w14:textId="77777777" w:rsidR="00697FEF" w:rsidRDefault="00697FEF" w:rsidP="00B50A56">
      <w:pPr>
        <w:pStyle w:val="CETBodytext"/>
        <w:rPr>
          <w:lang w:val="en-GB"/>
        </w:rPr>
      </w:pPr>
    </w:p>
    <w:p w14:paraId="0469D7E3" w14:textId="55C45E53" w:rsidR="00B82848" w:rsidRDefault="00314DE3" w:rsidP="00B82848">
      <w:pPr>
        <w:pStyle w:val="CETBodytext"/>
        <w:rPr>
          <w:lang w:val="en-GB"/>
        </w:rPr>
      </w:pPr>
      <w:r>
        <w:rPr>
          <w:noProof/>
        </w:rPr>
        <w:drawing>
          <wp:inline distT="0" distB="0" distL="0" distR="0" wp14:anchorId="6DE013E5" wp14:editId="409C9795">
            <wp:extent cx="2800350" cy="2028825"/>
            <wp:effectExtent l="0" t="0" r="0" b="0"/>
            <wp:docPr id="8" name="Chart 8">
              <a:extLst xmlns:a="http://schemas.openxmlformats.org/drawingml/2006/main">
                <a:ext uri="{FF2B5EF4-FFF2-40B4-BE49-F238E27FC236}">
                  <a16:creationId xmlns:a16="http://schemas.microsoft.com/office/drawing/2014/main" id="{07A372BC-CFAE-F957-2B15-341E0579F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8610C" w:rsidRPr="0088610C">
        <w:rPr>
          <w:noProof/>
        </w:rPr>
        <w:t xml:space="preserve"> </w:t>
      </w:r>
      <w:r w:rsidR="0088610C">
        <w:rPr>
          <w:noProof/>
        </w:rPr>
        <w:drawing>
          <wp:inline distT="0" distB="0" distL="0" distR="0" wp14:anchorId="262C44D0" wp14:editId="1558B5EA">
            <wp:extent cx="2667000" cy="2066925"/>
            <wp:effectExtent l="0" t="0" r="0" b="0"/>
            <wp:docPr id="9" name="Chart 9">
              <a:extLst xmlns:a="http://schemas.openxmlformats.org/drawingml/2006/main">
                <a:ext uri="{FF2B5EF4-FFF2-40B4-BE49-F238E27FC236}">
                  <a16:creationId xmlns:a16="http://schemas.microsoft.com/office/drawing/2014/main" id="{CCF4DF75-0283-44AB-B9A6-A7EF9592D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6" w:name="_Hlk128591658"/>
      <w:bookmarkStart w:id="7" w:name="_Hlk128518046"/>
    </w:p>
    <w:p w14:paraId="696377A2" w14:textId="77777777" w:rsidR="00BA7EB0" w:rsidRPr="00BA7EB0" w:rsidRDefault="00BA7EB0" w:rsidP="00B82848">
      <w:pPr>
        <w:pStyle w:val="CETBodytext"/>
        <w:rPr>
          <w:lang w:val="en-GB"/>
        </w:rPr>
      </w:pPr>
    </w:p>
    <w:bookmarkEnd w:id="6"/>
    <w:p w14:paraId="6E5C47E5" w14:textId="2402B580" w:rsidR="00FB49E0" w:rsidRPr="005D2BE7" w:rsidRDefault="00FB49E0" w:rsidP="00B50A56">
      <w:pPr>
        <w:pStyle w:val="CETBodytext"/>
        <w:rPr>
          <w:i/>
          <w:iCs/>
          <w:lang w:val="en-GB"/>
        </w:rPr>
      </w:pPr>
      <w:r w:rsidRPr="005D2BE7">
        <w:rPr>
          <w:i/>
          <w:iCs/>
          <w:lang w:val="en-GB"/>
        </w:rPr>
        <w:t xml:space="preserve">Figure </w:t>
      </w:r>
      <w:r w:rsidR="00A61A1A">
        <w:rPr>
          <w:i/>
          <w:iCs/>
          <w:lang w:val="en-GB"/>
        </w:rPr>
        <w:t>4</w:t>
      </w:r>
      <w:r w:rsidR="005D2BE7" w:rsidRPr="005D2BE7">
        <w:rPr>
          <w:i/>
          <w:iCs/>
          <w:lang w:val="en-GB"/>
        </w:rPr>
        <w:t>:</w:t>
      </w:r>
      <w:r w:rsidR="0043238F">
        <w:rPr>
          <w:i/>
          <w:iCs/>
          <w:lang w:val="en-GB"/>
        </w:rPr>
        <w:t xml:space="preserve"> </w:t>
      </w:r>
      <w:bookmarkStart w:id="8" w:name="_Hlk128590801"/>
      <w:r w:rsidR="00130643">
        <w:rPr>
          <w:i/>
          <w:iCs/>
          <w:lang w:val="en-GB"/>
        </w:rPr>
        <w:t>Trials</w:t>
      </w:r>
      <w:r w:rsidR="002F3D2D">
        <w:rPr>
          <w:i/>
          <w:iCs/>
          <w:lang w:val="en-GB"/>
        </w:rPr>
        <w:t xml:space="preserve"> with S1 as feed,</w:t>
      </w:r>
      <w:r w:rsidR="00130643">
        <w:rPr>
          <w:i/>
          <w:iCs/>
          <w:lang w:val="en-GB"/>
        </w:rPr>
        <w:t xml:space="preserve"> </w:t>
      </w:r>
      <w:r w:rsidR="002F3D2D">
        <w:rPr>
          <w:i/>
          <w:iCs/>
          <w:lang w:val="en-GB"/>
        </w:rPr>
        <w:t xml:space="preserve">at </w:t>
      </w:r>
      <w:bookmarkStart w:id="9" w:name="_Hlk128666344"/>
      <w:r w:rsidR="002F3D2D">
        <w:rPr>
          <w:rFonts w:cs="Arial"/>
          <w:i/>
          <w:iCs/>
          <w:lang w:val="en-GB"/>
        </w:rPr>
        <w:t>~</w:t>
      </w:r>
      <w:r w:rsidR="002F3D2D">
        <w:rPr>
          <w:i/>
          <w:iCs/>
          <w:lang w:val="en-GB"/>
        </w:rPr>
        <w:t xml:space="preserve">5 </w:t>
      </w:r>
      <w:proofErr w:type="spellStart"/>
      <w:r w:rsidR="002F3D2D">
        <w:rPr>
          <w:i/>
          <w:iCs/>
          <w:lang w:val="en-GB"/>
        </w:rPr>
        <w:t>barg</w:t>
      </w:r>
      <w:proofErr w:type="spellEnd"/>
      <w:r w:rsidR="002F3D2D">
        <w:rPr>
          <w:i/>
          <w:iCs/>
          <w:lang w:val="en-GB"/>
        </w:rPr>
        <w:t xml:space="preserve"> </w:t>
      </w:r>
      <w:bookmarkEnd w:id="9"/>
      <w:r w:rsidR="00130643">
        <w:rPr>
          <w:i/>
          <w:iCs/>
          <w:lang w:val="en-GB"/>
        </w:rPr>
        <w:t>using the long</w:t>
      </w:r>
      <w:r w:rsidR="0043696E">
        <w:rPr>
          <w:i/>
          <w:iCs/>
          <w:lang w:val="en-GB"/>
        </w:rPr>
        <w:t xml:space="preserve"> PSA bed</w:t>
      </w:r>
      <w:r w:rsidR="00B82848">
        <w:rPr>
          <w:i/>
          <w:iCs/>
          <w:lang w:val="en-GB"/>
        </w:rPr>
        <w:t>, exploring the 1</w:t>
      </w:r>
      <w:r w:rsidR="00B82848" w:rsidRPr="00B82848">
        <w:rPr>
          <w:i/>
          <w:iCs/>
          <w:vertAlign w:val="superscript"/>
          <w:lang w:val="en-GB"/>
        </w:rPr>
        <w:t>st</w:t>
      </w:r>
      <w:r w:rsidR="00B82848">
        <w:rPr>
          <w:i/>
          <w:iCs/>
          <w:lang w:val="en-GB"/>
        </w:rPr>
        <w:t xml:space="preserve"> Stage</w:t>
      </w:r>
      <w:r w:rsidR="00BA7EB0">
        <w:rPr>
          <w:i/>
          <w:iCs/>
          <w:lang w:val="en-GB"/>
        </w:rPr>
        <w:t xml:space="preserve"> -</w:t>
      </w:r>
      <w:r w:rsidR="0043696E">
        <w:rPr>
          <w:i/>
          <w:iCs/>
          <w:lang w:val="en-GB"/>
        </w:rPr>
        <w:t xml:space="preserve"> (a) </w:t>
      </w:r>
      <w:r w:rsidR="00130643">
        <w:rPr>
          <w:i/>
          <w:iCs/>
          <w:lang w:val="en-GB"/>
        </w:rPr>
        <w:t>p</w:t>
      </w:r>
      <w:r w:rsidR="0097617D">
        <w:rPr>
          <w:i/>
          <w:iCs/>
          <w:lang w:val="en-GB"/>
        </w:rPr>
        <w:t>erformance</w:t>
      </w:r>
      <w:r w:rsidR="002F3D2D">
        <w:rPr>
          <w:i/>
          <w:iCs/>
          <w:lang w:val="en-GB"/>
        </w:rPr>
        <w:t xml:space="preserve"> </w:t>
      </w:r>
      <w:r w:rsidR="00130643">
        <w:rPr>
          <w:i/>
          <w:iCs/>
          <w:lang w:val="en-GB"/>
        </w:rPr>
        <w:t>with and without</w:t>
      </w:r>
      <w:r w:rsidR="0097617D">
        <w:rPr>
          <w:i/>
          <w:iCs/>
          <w:lang w:val="en-GB"/>
        </w:rPr>
        <w:t xml:space="preserve"> back-purge</w:t>
      </w:r>
      <w:r w:rsidR="002F3D2D">
        <w:rPr>
          <w:i/>
          <w:iCs/>
          <w:lang w:val="en-GB"/>
        </w:rPr>
        <w:t xml:space="preserve"> (S2)</w:t>
      </w:r>
      <w:r w:rsidR="007278B6">
        <w:rPr>
          <w:i/>
          <w:iCs/>
          <w:lang w:val="en-GB"/>
        </w:rPr>
        <w:t xml:space="preserve"> </w:t>
      </w:r>
      <w:r w:rsidR="00B82848">
        <w:rPr>
          <w:i/>
          <w:iCs/>
          <w:lang w:val="en-GB"/>
        </w:rPr>
        <w:t xml:space="preserve">and </w:t>
      </w:r>
      <w:r w:rsidR="0043696E">
        <w:rPr>
          <w:i/>
          <w:iCs/>
          <w:lang w:val="en-GB"/>
        </w:rPr>
        <w:t xml:space="preserve">(b) </w:t>
      </w:r>
      <w:r w:rsidR="00130643">
        <w:rPr>
          <w:i/>
          <w:iCs/>
          <w:lang w:val="en-GB"/>
        </w:rPr>
        <w:t>p</w:t>
      </w:r>
      <w:r w:rsidR="0043238F">
        <w:rPr>
          <w:i/>
          <w:iCs/>
          <w:lang w:val="en-GB"/>
        </w:rPr>
        <w:t>erformance as</w:t>
      </w:r>
      <w:r w:rsidR="0043696E">
        <w:rPr>
          <w:i/>
          <w:iCs/>
          <w:lang w:val="en-GB"/>
        </w:rPr>
        <w:t xml:space="preserve"> duration of</w:t>
      </w:r>
      <w:r w:rsidR="0097617D">
        <w:rPr>
          <w:i/>
          <w:iCs/>
          <w:lang w:val="en-GB"/>
        </w:rPr>
        <w:t xml:space="preserve"> back-purge</w:t>
      </w:r>
      <w:r w:rsidR="002F3D2D">
        <w:rPr>
          <w:i/>
          <w:iCs/>
          <w:lang w:val="en-GB"/>
        </w:rPr>
        <w:t xml:space="preserve"> with S2</w:t>
      </w:r>
      <w:r w:rsidR="0043238F">
        <w:rPr>
          <w:i/>
          <w:iCs/>
          <w:lang w:val="en-GB"/>
        </w:rPr>
        <w:t xml:space="preserve"> is increased</w:t>
      </w:r>
      <w:r w:rsidR="0043696E">
        <w:rPr>
          <w:i/>
          <w:iCs/>
          <w:lang w:val="en-GB"/>
        </w:rPr>
        <w:t>.</w:t>
      </w:r>
    </w:p>
    <w:bookmarkEnd w:id="7"/>
    <w:bookmarkEnd w:id="8"/>
    <w:p w14:paraId="40EC238B" w14:textId="77777777" w:rsidR="00FB49E0" w:rsidRDefault="00FB49E0" w:rsidP="00B50A56">
      <w:pPr>
        <w:pStyle w:val="CETBodytext"/>
        <w:rPr>
          <w:lang w:val="en-GB"/>
        </w:rPr>
      </w:pPr>
    </w:p>
    <w:p w14:paraId="28D0D5BB" w14:textId="705A185A" w:rsidR="00B27276" w:rsidRDefault="00B27276" w:rsidP="0049375B">
      <w:pPr>
        <w:tabs>
          <w:tab w:val="clear" w:pos="7100"/>
        </w:tabs>
        <w:spacing w:after="200" w:line="276" w:lineRule="auto"/>
      </w:pPr>
      <w:r>
        <w:t>The long PSA bed was then used to consider how the 2</w:t>
      </w:r>
      <w:r w:rsidRPr="00040E25">
        <w:rPr>
          <w:vertAlign w:val="superscript"/>
        </w:rPr>
        <w:t>nd</w:t>
      </w:r>
      <w:r>
        <w:t xml:space="preserve"> Stage would work</w:t>
      </w:r>
      <w:r w:rsidR="0085685A">
        <w:t>.</w:t>
      </w:r>
      <w:r>
        <w:t xml:space="preserve"> </w:t>
      </w:r>
      <w:r w:rsidR="0085685A">
        <w:t>T</w:t>
      </w:r>
      <w:r>
        <w:t xml:space="preserve">he gas bottle mixture in S2 was used as a feed and the gas mixture in S3 was used in the back-purge cycle. The operating pressure was </w:t>
      </w:r>
      <w:r w:rsidR="00C2528C">
        <w:t>reduced</w:t>
      </w:r>
      <w:r>
        <w:t xml:space="preserve"> </w:t>
      </w:r>
      <w:r w:rsidRPr="00040E25">
        <w:t xml:space="preserve">to </w:t>
      </w:r>
      <w:r w:rsidRPr="00040E25">
        <w:rPr>
          <w:rFonts w:cs="Arial"/>
        </w:rPr>
        <w:t>~</w:t>
      </w:r>
      <w:r w:rsidRPr="00040E25">
        <w:t xml:space="preserve">3 </w:t>
      </w:r>
      <w:proofErr w:type="spellStart"/>
      <w:r w:rsidRPr="00040E25">
        <w:t>barg</w:t>
      </w:r>
      <w:proofErr w:type="spellEnd"/>
      <w:r>
        <w:t xml:space="preserve">, </w:t>
      </w:r>
      <w:r w:rsidR="00C2528C">
        <w:t>to</w:t>
      </w:r>
      <w:r>
        <w:t xml:space="preserve"> explore performance of the 2</w:t>
      </w:r>
      <w:r w:rsidRPr="00040E25">
        <w:rPr>
          <w:vertAlign w:val="superscript"/>
        </w:rPr>
        <w:t>nd</w:t>
      </w:r>
      <w:r>
        <w:t xml:space="preserve"> Stage at a lower operating </w:t>
      </w:r>
      <w:r w:rsidR="00C2528C">
        <w:t>pressure -</w:t>
      </w:r>
      <w:r w:rsidR="004F3EC3">
        <w:t xml:space="preserve"> </w:t>
      </w:r>
      <w:r>
        <w:t>hence save unnecessary syngas compression between the two stage (see Figure 3a). The results from such a trial are presented in Figure 5b and are very exciting as they demonstrate that a high H</w:t>
      </w:r>
      <w:r w:rsidRPr="00040E25">
        <w:rPr>
          <w:vertAlign w:val="subscript"/>
        </w:rPr>
        <w:t>2</w:t>
      </w:r>
      <w:r>
        <w:rPr>
          <w:vertAlign w:val="subscript"/>
        </w:rPr>
        <w:t xml:space="preserve"> </w:t>
      </w:r>
      <w:r>
        <w:t>purity (&gt; 95 vol%) can be achieved.</w:t>
      </w:r>
    </w:p>
    <w:p w14:paraId="784C9FC8" w14:textId="77777777" w:rsidR="00B27276" w:rsidRDefault="00B27276" w:rsidP="00B27276">
      <w:pPr>
        <w:pStyle w:val="CETBodytext"/>
        <w:rPr>
          <w:lang w:val="en-GB"/>
        </w:rPr>
      </w:pPr>
      <w:r>
        <w:rPr>
          <w:noProof/>
        </w:rPr>
        <w:lastRenderedPageBreak/>
        <w:drawing>
          <wp:inline distT="0" distB="0" distL="0" distR="0" wp14:anchorId="704DD3E0" wp14:editId="74C62565">
            <wp:extent cx="3019425" cy="2438400"/>
            <wp:effectExtent l="0" t="0" r="0" b="0"/>
            <wp:docPr id="10" name="Chart 10">
              <a:extLst xmlns:a="http://schemas.openxmlformats.org/drawingml/2006/main">
                <a:ext uri="{FF2B5EF4-FFF2-40B4-BE49-F238E27FC236}">
                  <a16:creationId xmlns:a16="http://schemas.microsoft.com/office/drawing/2014/main" id="{B34504F7-7828-10AA-6E89-35E5977DF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B49E0">
        <w:rPr>
          <w:noProof/>
        </w:rPr>
        <w:t xml:space="preserve"> </w:t>
      </w:r>
      <w:r>
        <w:rPr>
          <w:noProof/>
        </w:rPr>
        <w:drawing>
          <wp:inline distT="0" distB="0" distL="0" distR="0" wp14:anchorId="7095789E" wp14:editId="31413904">
            <wp:extent cx="2486025" cy="2343150"/>
            <wp:effectExtent l="0" t="0" r="0" b="0"/>
            <wp:docPr id="11" name="Chart 11">
              <a:extLst xmlns:a="http://schemas.openxmlformats.org/drawingml/2006/main">
                <a:ext uri="{FF2B5EF4-FFF2-40B4-BE49-F238E27FC236}">
                  <a16:creationId xmlns:a16="http://schemas.microsoft.com/office/drawing/2014/main" id="{2D3FADFE-45A8-3B25-9EDA-9FD9BB6B2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3BEB55" w14:textId="49F5F01A" w:rsidR="00B27276" w:rsidRDefault="00B27276" w:rsidP="002368E8">
      <w:pPr>
        <w:pStyle w:val="CETBodytext"/>
        <w:rPr>
          <w:i/>
          <w:iCs/>
          <w:lang w:val="en-GB"/>
        </w:rPr>
      </w:pPr>
      <w:bookmarkStart w:id="10" w:name="_Hlk128518849"/>
      <w:r w:rsidRPr="005D2BE7">
        <w:rPr>
          <w:i/>
          <w:iCs/>
          <w:lang w:val="en-GB"/>
        </w:rPr>
        <w:t xml:space="preserve">Figure </w:t>
      </w:r>
      <w:r>
        <w:rPr>
          <w:i/>
          <w:iCs/>
          <w:lang w:val="en-GB"/>
        </w:rPr>
        <w:t>5</w:t>
      </w:r>
      <w:r w:rsidRPr="005D2BE7">
        <w:rPr>
          <w:i/>
          <w:iCs/>
          <w:lang w:val="en-GB"/>
        </w:rPr>
        <w:t xml:space="preserve">: </w:t>
      </w:r>
      <w:r>
        <w:rPr>
          <w:i/>
          <w:iCs/>
          <w:lang w:val="en-GB"/>
        </w:rPr>
        <w:t>Trials with a feed of S1, using the long PSA bed - (a) performance of the 1</w:t>
      </w:r>
      <w:r w:rsidRPr="00130643">
        <w:rPr>
          <w:i/>
          <w:iCs/>
          <w:vertAlign w:val="superscript"/>
          <w:lang w:val="en-GB"/>
        </w:rPr>
        <w:t>st</w:t>
      </w:r>
      <w:r>
        <w:rPr>
          <w:i/>
          <w:iCs/>
          <w:lang w:val="en-GB"/>
        </w:rPr>
        <w:t xml:space="preserve"> Stage with a feed of S1, at a higher pressure </w:t>
      </w:r>
      <w:r>
        <w:rPr>
          <w:rFonts w:cs="Arial"/>
          <w:i/>
          <w:iCs/>
          <w:lang w:val="en-GB"/>
        </w:rPr>
        <w:t>~</w:t>
      </w:r>
      <w:r>
        <w:rPr>
          <w:i/>
          <w:iCs/>
          <w:lang w:val="en-GB"/>
        </w:rPr>
        <w:t xml:space="preserve">8 </w:t>
      </w:r>
      <w:proofErr w:type="spellStart"/>
      <w:r>
        <w:rPr>
          <w:i/>
          <w:iCs/>
          <w:lang w:val="en-GB"/>
        </w:rPr>
        <w:t>barg</w:t>
      </w:r>
      <w:proofErr w:type="spellEnd"/>
      <w:r>
        <w:rPr>
          <w:i/>
          <w:iCs/>
          <w:lang w:val="en-GB"/>
        </w:rPr>
        <w:t xml:space="preserve"> (without and with back-purge with S2), and (b) performance of the 2</w:t>
      </w:r>
      <w:r w:rsidRPr="00040E25">
        <w:rPr>
          <w:i/>
          <w:iCs/>
          <w:vertAlign w:val="superscript"/>
          <w:lang w:val="en-GB"/>
        </w:rPr>
        <w:t>nd</w:t>
      </w:r>
      <w:r>
        <w:rPr>
          <w:i/>
          <w:iCs/>
          <w:lang w:val="en-GB"/>
        </w:rPr>
        <w:t xml:space="preserve"> Stage with a feed of S2, at </w:t>
      </w:r>
      <w:r>
        <w:rPr>
          <w:rFonts w:cs="Arial"/>
          <w:i/>
          <w:iCs/>
          <w:lang w:val="en-GB"/>
        </w:rPr>
        <w:t>~</w:t>
      </w:r>
      <w:r>
        <w:rPr>
          <w:i/>
          <w:iCs/>
          <w:lang w:val="en-GB"/>
        </w:rPr>
        <w:t xml:space="preserve">3 </w:t>
      </w:r>
      <w:proofErr w:type="spellStart"/>
      <w:r>
        <w:rPr>
          <w:i/>
          <w:iCs/>
          <w:lang w:val="en-GB"/>
        </w:rPr>
        <w:t>barg</w:t>
      </w:r>
      <w:proofErr w:type="spellEnd"/>
      <w:r>
        <w:rPr>
          <w:i/>
          <w:iCs/>
          <w:lang w:val="en-GB"/>
        </w:rPr>
        <w:t xml:space="preserve"> (at different back-purge durations using gas mixture S3).</w:t>
      </w:r>
      <w:bookmarkEnd w:id="10"/>
    </w:p>
    <w:p w14:paraId="7B08E77D" w14:textId="77777777" w:rsidR="002368E8" w:rsidRPr="002368E8" w:rsidRDefault="002368E8" w:rsidP="002368E8">
      <w:pPr>
        <w:pStyle w:val="CETBodytext"/>
        <w:rPr>
          <w:i/>
          <w:iCs/>
          <w:lang w:val="en-GB"/>
        </w:rPr>
      </w:pPr>
    </w:p>
    <w:p w14:paraId="6EA41E74" w14:textId="77777777" w:rsidR="00B27276" w:rsidRPr="00B57B36" w:rsidRDefault="00B27276" w:rsidP="00B27276">
      <w:pPr>
        <w:pStyle w:val="CETheadingx"/>
      </w:pPr>
      <w:r w:rsidRPr="00B57B36">
        <w:t>P</w:t>
      </w:r>
      <w:r>
        <w:t>hase 2 trials in the Twin-Bed PSA</w:t>
      </w:r>
    </w:p>
    <w:p w14:paraId="53FAC239" w14:textId="124D262A" w:rsidR="00FB49E0" w:rsidRDefault="00B27276" w:rsidP="00B27276">
      <w:pPr>
        <w:tabs>
          <w:tab w:val="clear" w:pos="7100"/>
        </w:tabs>
        <w:spacing w:after="200" w:line="276" w:lineRule="auto"/>
        <w:jc w:val="left"/>
      </w:pPr>
      <w:r w:rsidRPr="001B780E">
        <w:t xml:space="preserve">Building on the knowledge gained in Phase 1, the </w:t>
      </w:r>
      <w:r w:rsidR="00B71549" w:rsidRPr="001B780E">
        <w:t>cross-sectional</w:t>
      </w:r>
      <w:r w:rsidRPr="001B780E">
        <w:t xml:space="preserve"> area of the bed was scaled-up by a factor of </w:t>
      </w:r>
      <w:r w:rsidR="00B71549" w:rsidRPr="001B780E">
        <w:t xml:space="preserve">x </w:t>
      </w:r>
      <w:r w:rsidRPr="001B780E">
        <w:t>2</w:t>
      </w:r>
      <w:r w:rsidR="001B780E" w:rsidRPr="001B780E">
        <w:t>90</w:t>
      </w:r>
      <w:r w:rsidRPr="001B780E">
        <w:t>, leading to a Twin-</w:t>
      </w:r>
      <w:r w:rsidR="009F47C8">
        <w:t>b</w:t>
      </w:r>
      <w:r w:rsidRPr="001B780E">
        <w:t>ed PSA</w:t>
      </w:r>
      <w:r w:rsidR="00B71549" w:rsidRPr="001B780E">
        <w:t xml:space="preserve"> unit, with each bed having a diameter of 888 mm. The length of the </w:t>
      </w:r>
      <w:r w:rsidR="00AC22C3" w:rsidRPr="001B780E">
        <w:t xml:space="preserve">adsorbent in the </w:t>
      </w:r>
      <w:r w:rsidR="00B71549" w:rsidRPr="001B780E">
        <w:t>bed was reduced from 8 m down to 1.5 m.</w:t>
      </w:r>
      <w:r w:rsidR="00AC22C3" w:rsidRPr="001B780E">
        <w:t xml:space="preserve"> A photo of the skid-mounted PSA Unit is </w:t>
      </w:r>
      <w:r w:rsidR="00AC22C3">
        <w:t>illustrated in Figure 3b. The unit consisted of: Syngas Receiver (2.2 m</w:t>
      </w:r>
      <w:r w:rsidR="00AC22C3" w:rsidRPr="00AC22C3">
        <w:rPr>
          <w:vertAlign w:val="superscript"/>
        </w:rPr>
        <w:t>3</w:t>
      </w:r>
      <w:r w:rsidR="00AC22C3">
        <w:t>); Syngas Chiller; 2 PSA beds; and H</w:t>
      </w:r>
      <w:r w:rsidR="00AC22C3" w:rsidRPr="00AC22C3">
        <w:rPr>
          <w:vertAlign w:val="subscript"/>
        </w:rPr>
        <w:t>2</w:t>
      </w:r>
      <w:r w:rsidR="00AC22C3">
        <w:t xml:space="preserve"> Product Receiver (2.2 m</w:t>
      </w:r>
      <w:r w:rsidR="00AC22C3" w:rsidRPr="00AC22C3">
        <w:rPr>
          <w:vertAlign w:val="superscript"/>
        </w:rPr>
        <w:t>3</w:t>
      </w:r>
      <w:r w:rsidR="00AC22C3">
        <w:t xml:space="preserve">). </w:t>
      </w:r>
      <w:r w:rsidR="00C2528C">
        <w:t>The Syngas Chiller</w:t>
      </w:r>
      <w:r w:rsidR="00AC22C3">
        <w:t xml:space="preserve"> is installed to enable the temperature of the Syngas to be reduced before entry into the PSA beds. </w:t>
      </w:r>
      <w:r w:rsidR="00B71549">
        <w:t xml:space="preserve"> From the gasifier</w:t>
      </w:r>
      <w:r w:rsidR="00C2528C">
        <w:t>,</w:t>
      </w:r>
      <w:r w:rsidR="00B71549">
        <w:t xml:space="preserve"> a slip</w:t>
      </w:r>
      <w:r w:rsidR="008B370F">
        <w:t>-</w:t>
      </w:r>
      <w:r w:rsidR="00B71549">
        <w:t xml:space="preserve">stream of Syngas was diverted to the PSA </w:t>
      </w:r>
      <w:r w:rsidR="00AC22C3">
        <w:t>part of the plant</w:t>
      </w:r>
      <w:r w:rsidR="004F3EC3">
        <w:t xml:space="preserve"> (see Figure 1)</w:t>
      </w:r>
      <w:r w:rsidR="00AC22C3">
        <w:t>,</w:t>
      </w:r>
      <w:r w:rsidR="00B71549">
        <w:t xml:space="preserve"> and a feedstock of RDF + Air was used to generate the Syngas.</w:t>
      </w:r>
    </w:p>
    <w:p w14:paraId="705F558F" w14:textId="76ECAA89" w:rsidR="00FB49E0" w:rsidRDefault="00BF68BC" w:rsidP="00B50A56">
      <w:pPr>
        <w:pStyle w:val="CETBodytext"/>
        <w:rPr>
          <w:lang w:val="en-GB"/>
        </w:rPr>
      </w:pPr>
      <w:r>
        <w:rPr>
          <w:noProof/>
        </w:rPr>
        <w:drawing>
          <wp:inline distT="0" distB="0" distL="0" distR="0" wp14:anchorId="14560B53" wp14:editId="5932EFD8">
            <wp:extent cx="2676525" cy="2333625"/>
            <wp:effectExtent l="0" t="0" r="0" b="0"/>
            <wp:docPr id="12" name="Chart 12">
              <a:extLst xmlns:a="http://schemas.openxmlformats.org/drawingml/2006/main">
                <a:ext uri="{FF2B5EF4-FFF2-40B4-BE49-F238E27FC236}">
                  <a16:creationId xmlns:a16="http://schemas.microsoft.com/office/drawing/2014/main" id="{15DFC8C8-AFF7-CF6B-050C-C67644104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31CE7" w:rsidRPr="00231CE7">
        <w:rPr>
          <w:noProof/>
        </w:rPr>
        <w:t xml:space="preserve"> </w:t>
      </w:r>
      <w:r w:rsidR="00223475">
        <w:rPr>
          <w:noProof/>
        </w:rPr>
        <w:drawing>
          <wp:inline distT="0" distB="0" distL="0" distR="0" wp14:anchorId="705731FE" wp14:editId="475B2273">
            <wp:extent cx="2676525" cy="2324100"/>
            <wp:effectExtent l="0" t="0" r="0" b="0"/>
            <wp:docPr id="4" name="Chart 4">
              <a:extLst xmlns:a="http://schemas.openxmlformats.org/drawingml/2006/main">
                <a:ext uri="{FF2B5EF4-FFF2-40B4-BE49-F238E27FC236}">
                  <a16:creationId xmlns:a16="http://schemas.microsoft.com/office/drawing/2014/main" id="{1B77E9EE-473B-079F-D2BD-0F635CA1D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74C908" w14:textId="28EF3621" w:rsidR="00FB49E0" w:rsidRPr="005D2BE7" w:rsidRDefault="00231CE7" w:rsidP="00B50A56">
      <w:pPr>
        <w:pStyle w:val="CETBodytext"/>
        <w:rPr>
          <w:i/>
          <w:iCs/>
          <w:lang w:val="en-GB"/>
        </w:rPr>
      </w:pPr>
      <w:r w:rsidRPr="005D2BE7">
        <w:rPr>
          <w:i/>
          <w:iCs/>
          <w:lang w:val="en-GB"/>
        </w:rPr>
        <w:t xml:space="preserve">Figure </w:t>
      </w:r>
      <w:r w:rsidR="00B82848">
        <w:rPr>
          <w:i/>
          <w:iCs/>
          <w:lang w:val="en-GB"/>
        </w:rPr>
        <w:t>6</w:t>
      </w:r>
      <w:r w:rsidR="005D2BE7" w:rsidRPr="005D2BE7">
        <w:rPr>
          <w:i/>
          <w:iCs/>
          <w:lang w:val="en-GB"/>
        </w:rPr>
        <w:t>:</w:t>
      </w:r>
      <w:r w:rsidR="0043238F">
        <w:rPr>
          <w:i/>
          <w:iCs/>
          <w:lang w:val="en-GB"/>
        </w:rPr>
        <w:t xml:space="preserve"> </w:t>
      </w:r>
      <w:r w:rsidR="00B82848">
        <w:rPr>
          <w:i/>
          <w:iCs/>
          <w:lang w:val="en-GB"/>
        </w:rPr>
        <w:t>Trials</w:t>
      </w:r>
      <w:r w:rsidR="004F3EC3">
        <w:rPr>
          <w:i/>
          <w:iCs/>
          <w:lang w:val="en-GB"/>
        </w:rPr>
        <w:t xml:space="preserve"> using real Syngas</w:t>
      </w:r>
      <w:r w:rsidR="00B82848">
        <w:rPr>
          <w:i/>
          <w:iCs/>
          <w:lang w:val="en-GB"/>
        </w:rPr>
        <w:t xml:space="preserve"> </w:t>
      </w:r>
      <w:r w:rsidR="000D7D60">
        <w:rPr>
          <w:i/>
          <w:iCs/>
          <w:lang w:val="en-GB"/>
        </w:rPr>
        <w:t xml:space="preserve">in </w:t>
      </w:r>
      <w:r w:rsidR="004F3EC3">
        <w:rPr>
          <w:i/>
          <w:iCs/>
          <w:lang w:val="en-GB"/>
        </w:rPr>
        <w:t>a single-stage</w:t>
      </w:r>
      <w:r w:rsidR="00B82848">
        <w:rPr>
          <w:i/>
          <w:iCs/>
          <w:lang w:val="en-GB"/>
        </w:rPr>
        <w:t xml:space="preserve"> </w:t>
      </w:r>
      <w:r w:rsidR="0043238F">
        <w:rPr>
          <w:i/>
          <w:iCs/>
          <w:lang w:val="en-GB"/>
        </w:rPr>
        <w:t>Twin-bed PSA</w:t>
      </w:r>
      <w:r w:rsidR="000D7D60">
        <w:rPr>
          <w:i/>
          <w:iCs/>
          <w:lang w:val="en-GB"/>
        </w:rPr>
        <w:t xml:space="preserve">, showing performance in the </w:t>
      </w:r>
      <w:r w:rsidR="002368E8">
        <w:rPr>
          <w:i/>
          <w:iCs/>
          <w:lang w:val="en-GB"/>
        </w:rPr>
        <w:t>3</w:t>
      </w:r>
      <w:r w:rsidR="002368E8" w:rsidRPr="002368E8">
        <w:rPr>
          <w:i/>
          <w:iCs/>
          <w:vertAlign w:val="superscript"/>
          <w:lang w:val="en-GB"/>
        </w:rPr>
        <w:t>rd</w:t>
      </w:r>
      <w:r w:rsidR="002368E8">
        <w:rPr>
          <w:i/>
          <w:iCs/>
          <w:lang w:val="en-GB"/>
        </w:rPr>
        <w:t xml:space="preserve"> </w:t>
      </w:r>
      <w:r w:rsidR="000D7D60">
        <w:rPr>
          <w:i/>
          <w:iCs/>
          <w:lang w:val="en-GB"/>
        </w:rPr>
        <w:t>production cycle</w:t>
      </w:r>
      <w:r w:rsidR="008B370F">
        <w:rPr>
          <w:i/>
          <w:iCs/>
          <w:lang w:val="en-GB"/>
        </w:rPr>
        <w:t xml:space="preserve"> (total duration of cycle = 870 s)</w:t>
      </w:r>
      <w:r w:rsidR="006E3957" w:rsidRPr="006E3957">
        <w:rPr>
          <w:i/>
          <w:iCs/>
          <w:lang w:val="en-GB"/>
        </w:rPr>
        <w:t xml:space="preserve"> </w:t>
      </w:r>
      <w:r w:rsidR="006E3957">
        <w:rPr>
          <w:i/>
          <w:iCs/>
          <w:lang w:val="en-GB"/>
        </w:rPr>
        <w:t xml:space="preserve">operating at </w:t>
      </w:r>
      <w:r w:rsidR="006E3957">
        <w:rPr>
          <w:rFonts w:cs="Arial"/>
          <w:i/>
          <w:iCs/>
          <w:lang w:val="en-GB"/>
        </w:rPr>
        <w:t>~</w:t>
      </w:r>
      <w:r w:rsidR="006E3957">
        <w:rPr>
          <w:i/>
          <w:iCs/>
          <w:lang w:val="en-GB"/>
        </w:rPr>
        <w:t xml:space="preserve">1.5 </w:t>
      </w:r>
      <w:proofErr w:type="spellStart"/>
      <w:r w:rsidR="006E3957">
        <w:rPr>
          <w:i/>
          <w:iCs/>
          <w:lang w:val="en-GB"/>
        </w:rPr>
        <w:t>barg</w:t>
      </w:r>
      <w:proofErr w:type="spellEnd"/>
      <w:r w:rsidR="006E3957">
        <w:rPr>
          <w:i/>
          <w:iCs/>
          <w:lang w:val="en-GB"/>
        </w:rPr>
        <w:t xml:space="preserve"> -</w:t>
      </w:r>
      <w:r w:rsidR="008B370F">
        <w:rPr>
          <w:i/>
          <w:iCs/>
          <w:lang w:val="en-GB"/>
        </w:rPr>
        <w:t xml:space="preserve"> </w:t>
      </w:r>
      <w:r w:rsidR="00B82848">
        <w:rPr>
          <w:i/>
          <w:iCs/>
          <w:lang w:val="en-GB"/>
        </w:rPr>
        <w:t>(a)</w:t>
      </w:r>
      <w:r w:rsidR="0043238F">
        <w:rPr>
          <w:i/>
          <w:iCs/>
          <w:lang w:val="en-GB"/>
        </w:rPr>
        <w:t xml:space="preserve"> </w:t>
      </w:r>
      <w:r w:rsidR="005D2BE7" w:rsidRPr="005D2BE7">
        <w:rPr>
          <w:i/>
          <w:iCs/>
          <w:lang w:val="en-GB"/>
        </w:rPr>
        <w:t>H</w:t>
      </w:r>
      <w:r w:rsidR="005D2BE7" w:rsidRPr="005D2BE7">
        <w:rPr>
          <w:i/>
          <w:iCs/>
          <w:vertAlign w:val="subscript"/>
          <w:lang w:val="en-GB"/>
        </w:rPr>
        <w:t>2</w:t>
      </w:r>
      <w:r w:rsidR="005D2BE7" w:rsidRPr="005D2BE7">
        <w:rPr>
          <w:i/>
          <w:iCs/>
          <w:lang w:val="en-GB"/>
        </w:rPr>
        <w:t xml:space="preserve"> product flow</w:t>
      </w:r>
      <w:r w:rsidR="00B82848">
        <w:rPr>
          <w:i/>
          <w:iCs/>
          <w:lang w:val="en-GB"/>
        </w:rPr>
        <w:t xml:space="preserve">, and (b) </w:t>
      </w:r>
      <w:r w:rsidR="005D2BE7" w:rsidRPr="005D2BE7">
        <w:rPr>
          <w:i/>
          <w:iCs/>
          <w:lang w:val="en-GB"/>
        </w:rPr>
        <w:t>H</w:t>
      </w:r>
      <w:r w:rsidR="005D2BE7" w:rsidRPr="005D2BE7">
        <w:rPr>
          <w:i/>
          <w:iCs/>
          <w:vertAlign w:val="subscript"/>
          <w:lang w:val="en-GB"/>
        </w:rPr>
        <w:t>2</w:t>
      </w:r>
      <w:r w:rsidR="005D2BE7" w:rsidRPr="005D2BE7">
        <w:rPr>
          <w:i/>
          <w:iCs/>
          <w:lang w:val="en-GB"/>
        </w:rPr>
        <w:t xml:space="preserve"> purity</w:t>
      </w:r>
      <w:r w:rsidR="000D7D60">
        <w:rPr>
          <w:i/>
          <w:iCs/>
          <w:lang w:val="en-GB"/>
        </w:rPr>
        <w:t>.</w:t>
      </w:r>
    </w:p>
    <w:p w14:paraId="3D9F9BED" w14:textId="2F2DABAA" w:rsidR="00715072" w:rsidRDefault="00715072" w:rsidP="00B50A56">
      <w:pPr>
        <w:pStyle w:val="CETBodytext"/>
        <w:rPr>
          <w:lang w:val="en-GB"/>
        </w:rPr>
      </w:pPr>
    </w:p>
    <w:p w14:paraId="51F51A1A" w14:textId="40B1A902" w:rsidR="00810A9E" w:rsidRDefault="000D7D60" w:rsidP="00600535">
      <w:pPr>
        <w:pStyle w:val="CETBodytext"/>
        <w:rPr>
          <w:lang w:val="en-GB"/>
        </w:rPr>
      </w:pPr>
      <w:r>
        <w:rPr>
          <w:lang w:val="en-GB"/>
        </w:rPr>
        <w:t>O</w:t>
      </w:r>
      <w:r w:rsidR="004F3EC3">
        <w:rPr>
          <w:lang w:val="en-GB"/>
        </w:rPr>
        <w:t xml:space="preserve">ne set of results is illustrated in Figure 6, showing the performance from individual beds (labelled PSA1 and PSA2). </w:t>
      </w:r>
      <w:r>
        <w:rPr>
          <w:lang w:val="en-GB"/>
        </w:rPr>
        <w:t xml:space="preserve">The </w:t>
      </w:r>
      <w:r w:rsidR="0085685A">
        <w:rPr>
          <w:lang w:val="en-GB"/>
        </w:rPr>
        <w:t xml:space="preserve">product </w:t>
      </w:r>
      <w:r>
        <w:rPr>
          <w:lang w:val="en-GB"/>
        </w:rPr>
        <w:t>flow from PSA</w:t>
      </w:r>
      <w:r w:rsidR="0085685A">
        <w:rPr>
          <w:lang w:val="en-GB"/>
        </w:rPr>
        <w:t>2</w:t>
      </w:r>
      <w:r>
        <w:rPr>
          <w:lang w:val="en-GB"/>
        </w:rPr>
        <w:t xml:space="preserve"> is higher that from PSA</w:t>
      </w:r>
      <w:r w:rsidR="00C2528C">
        <w:rPr>
          <w:lang w:val="en-GB"/>
        </w:rPr>
        <w:t>1</w:t>
      </w:r>
      <w:r>
        <w:rPr>
          <w:lang w:val="en-GB"/>
        </w:rPr>
        <w:t xml:space="preserve">, and the duration of high purity is longer from PSA2 than from PSA1. Despite the beds being packed in a similar manner, these types of differences occur in real trials, emphasizing the importance of such studies. </w:t>
      </w:r>
      <w:r w:rsidR="00C94E36">
        <w:rPr>
          <w:lang w:val="en-GB"/>
        </w:rPr>
        <w:t>Th</w:t>
      </w:r>
      <w:r w:rsidR="008B370F">
        <w:rPr>
          <w:lang w:val="en-GB"/>
        </w:rPr>
        <w:t xml:space="preserve">is </w:t>
      </w:r>
      <w:r w:rsidR="002368E8">
        <w:rPr>
          <w:lang w:val="en-GB"/>
        </w:rPr>
        <w:t xml:space="preserve">particular </w:t>
      </w:r>
      <w:r w:rsidR="00C94E36">
        <w:rPr>
          <w:lang w:val="en-GB"/>
        </w:rPr>
        <w:t>cycle consisted of the following key steps:</w:t>
      </w:r>
    </w:p>
    <w:p w14:paraId="4500F972" w14:textId="10809F0C" w:rsidR="008B370F" w:rsidRDefault="008B370F" w:rsidP="00600535">
      <w:pPr>
        <w:pStyle w:val="CETBodytext"/>
        <w:rPr>
          <w:lang w:val="en-GB"/>
        </w:rPr>
      </w:pPr>
      <w:r>
        <w:rPr>
          <w:lang w:val="en-GB"/>
        </w:rPr>
        <w:t xml:space="preserve">      </w:t>
      </w:r>
      <w:r w:rsidR="00C94E36" w:rsidRPr="008B370F">
        <w:rPr>
          <w:u w:val="single"/>
          <w:lang w:val="en-GB"/>
        </w:rPr>
        <w:t>In PSA1</w:t>
      </w:r>
      <w:r w:rsidR="00C94E36">
        <w:rPr>
          <w:lang w:val="en-GB"/>
        </w:rPr>
        <w:t xml:space="preserve">: Bed pressurisation </w:t>
      </w:r>
      <w:bookmarkStart w:id="11" w:name="_Hlk128681592"/>
      <w:r w:rsidR="00C94E36">
        <w:rPr>
          <w:lang w:val="en-GB"/>
        </w:rPr>
        <w:t xml:space="preserve">(4 </w:t>
      </w:r>
      <w:r w:rsidR="00C94E36">
        <w:rPr>
          <w:rFonts w:cs="Arial"/>
          <w:lang w:val="en-GB"/>
        </w:rPr>
        <w:t>→</w:t>
      </w:r>
      <w:r w:rsidR="00C94E36">
        <w:rPr>
          <w:lang w:val="en-GB"/>
        </w:rPr>
        <w:t xml:space="preserve"> 426 s); </w:t>
      </w:r>
      <w:bookmarkEnd w:id="11"/>
      <w:r w:rsidR="00C94E36">
        <w:rPr>
          <w:lang w:val="en-GB"/>
        </w:rPr>
        <w:t>H</w:t>
      </w:r>
      <w:r w:rsidR="00C94E36" w:rsidRPr="002368E8">
        <w:rPr>
          <w:vertAlign w:val="subscript"/>
          <w:lang w:val="en-GB"/>
        </w:rPr>
        <w:t>2</w:t>
      </w:r>
      <w:r w:rsidR="00C94E36">
        <w:rPr>
          <w:lang w:val="en-GB"/>
        </w:rPr>
        <w:t xml:space="preserve"> product removal (204 </w:t>
      </w:r>
      <w:r w:rsidR="00C94E36">
        <w:rPr>
          <w:rFonts w:cs="Arial"/>
          <w:lang w:val="en-GB"/>
        </w:rPr>
        <w:t>→</w:t>
      </w:r>
      <w:r w:rsidR="00C94E36">
        <w:rPr>
          <w:lang w:val="en-GB"/>
        </w:rPr>
        <w:t xml:space="preserve"> 426 s); Pressure relief (434 </w:t>
      </w:r>
      <w:r w:rsidR="00C94E36">
        <w:rPr>
          <w:rFonts w:cs="Arial"/>
          <w:lang w:val="en-GB"/>
        </w:rPr>
        <w:t>→</w:t>
      </w:r>
      <w:r w:rsidR="00C94E36">
        <w:rPr>
          <w:lang w:val="en-GB"/>
        </w:rPr>
        <w:t xml:space="preserve"> 86</w:t>
      </w:r>
      <w:r w:rsidR="00196D1B">
        <w:rPr>
          <w:lang w:val="en-GB"/>
        </w:rPr>
        <w:t>2</w:t>
      </w:r>
      <w:r w:rsidR="00C94E36">
        <w:rPr>
          <w:lang w:val="en-GB"/>
        </w:rPr>
        <w:t xml:space="preserve"> s); </w:t>
      </w:r>
    </w:p>
    <w:p w14:paraId="3D8C55DB" w14:textId="2D521B2A" w:rsidR="00C94E36" w:rsidRDefault="008B370F" w:rsidP="00600535">
      <w:pPr>
        <w:pStyle w:val="CETBodytext"/>
        <w:rPr>
          <w:lang w:val="en-GB"/>
        </w:rPr>
      </w:pPr>
      <w:r>
        <w:rPr>
          <w:lang w:val="en-GB"/>
        </w:rPr>
        <w:t xml:space="preserve">      </w:t>
      </w:r>
      <w:r w:rsidR="00C94E36">
        <w:rPr>
          <w:lang w:val="en-GB"/>
        </w:rPr>
        <w:t xml:space="preserve">Back-purge (738 </w:t>
      </w:r>
      <w:r w:rsidR="00C94E36">
        <w:rPr>
          <w:rFonts w:cs="Arial"/>
          <w:lang w:val="en-GB"/>
        </w:rPr>
        <w:t>→</w:t>
      </w:r>
      <w:r w:rsidR="00C94E36">
        <w:rPr>
          <w:lang w:val="en-GB"/>
        </w:rPr>
        <w:t xml:space="preserve"> 860 s);</w:t>
      </w:r>
    </w:p>
    <w:p w14:paraId="09098D89" w14:textId="77777777" w:rsidR="008B370F" w:rsidRDefault="008B370F" w:rsidP="00600535">
      <w:pPr>
        <w:pStyle w:val="CETBodytext"/>
        <w:rPr>
          <w:lang w:val="en-GB"/>
        </w:rPr>
      </w:pPr>
      <w:r>
        <w:rPr>
          <w:lang w:val="en-GB"/>
        </w:rPr>
        <w:t xml:space="preserve">      </w:t>
      </w:r>
      <w:r w:rsidR="00C94E36" w:rsidRPr="008B370F">
        <w:rPr>
          <w:u w:val="single"/>
          <w:lang w:val="en-GB"/>
        </w:rPr>
        <w:t>In PSA2:</w:t>
      </w:r>
      <w:r w:rsidR="00C94E36">
        <w:rPr>
          <w:lang w:val="en-GB"/>
        </w:rPr>
        <w:t xml:space="preserve"> Pressure relief (2 </w:t>
      </w:r>
      <w:r w:rsidR="00C94E36">
        <w:rPr>
          <w:rFonts w:cs="Arial"/>
          <w:lang w:val="en-GB"/>
        </w:rPr>
        <w:t>→</w:t>
      </w:r>
      <w:r w:rsidR="00C94E36">
        <w:rPr>
          <w:lang w:val="en-GB"/>
        </w:rPr>
        <w:t xml:space="preserve"> 430 s); Back-purge (306 </w:t>
      </w:r>
      <w:r w:rsidR="00C94E36">
        <w:rPr>
          <w:rFonts w:cs="Arial"/>
          <w:lang w:val="en-GB"/>
        </w:rPr>
        <w:t>→</w:t>
      </w:r>
      <w:r w:rsidR="00C94E36">
        <w:rPr>
          <w:lang w:val="en-GB"/>
        </w:rPr>
        <w:t xml:space="preserve"> 428 s);</w:t>
      </w:r>
      <w:r w:rsidR="00C94E36" w:rsidRPr="00C94E36">
        <w:rPr>
          <w:lang w:val="en-GB"/>
        </w:rPr>
        <w:t xml:space="preserve"> </w:t>
      </w:r>
      <w:r w:rsidR="00C94E36">
        <w:rPr>
          <w:lang w:val="en-GB"/>
        </w:rPr>
        <w:t xml:space="preserve">Bed pressurisation (436 </w:t>
      </w:r>
      <w:r w:rsidR="00C94E36">
        <w:rPr>
          <w:rFonts w:cs="Arial"/>
          <w:lang w:val="en-GB"/>
        </w:rPr>
        <w:t>→</w:t>
      </w:r>
      <w:r w:rsidR="00C94E36">
        <w:rPr>
          <w:lang w:val="en-GB"/>
        </w:rPr>
        <w:t xml:space="preserve"> 858 s); H</w:t>
      </w:r>
      <w:r w:rsidR="00C94E36" w:rsidRPr="002368E8">
        <w:rPr>
          <w:vertAlign w:val="subscript"/>
          <w:lang w:val="en-GB"/>
        </w:rPr>
        <w:t>2</w:t>
      </w:r>
      <w:r w:rsidR="00C94E36">
        <w:rPr>
          <w:lang w:val="en-GB"/>
        </w:rPr>
        <w:t xml:space="preserve"> </w:t>
      </w:r>
    </w:p>
    <w:p w14:paraId="4D46EDD6" w14:textId="2BFFDE88" w:rsidR="00C94E36" w:rsidRDefault="008B370F" w:rsidP="00600535">
      <w:pPr>
        <w:pStyle w:val="CETBodytext"/>
        <w:rPr>
          <w:lang w:val="en-GB"/>
        </w:rPr>
      </w:pPr>
      <w:r>
        <w:rPr>
          <w:lang w:val="en-GB"/>
        </w:rPr>
        <w:t xml:space="preserve">      </w:t>
      </w:r>
      <w:r w:rsidR="00C94E36">
        <w:rPr>
          <w:lang w:val="en-GB"/>
        </w:rPr>
        <w:t xml:space="preserve">product removal (636 </w:t>
      </w:r>
      <w:r w:rsidR="00C94E36">
        <w:rPr>
          <w:rFonts w:cs="Arial"/>
          <w:lang w:val="en-GB"/>
        </w:rPr>
        <w:t>→</w:t>
      </w:r>
      <w:r w:rsidR="00C94E36">
        <w:rPr>
          <w:lang w:val="en-GB"/>
        </w:rPr>
        <w:t xml:space="preserve"> 858 s)</w:t>
      </w:r>
      <w:r>
        <w:rPr>
          <w:lang w:val="en-GB"/>
        </w:rPr>
        <w:t>.</w:t>
      </w:r>
    </w:p>
    <w:p w14:paraId="2597C0BA" w14:textId="1FD09CD5" w:rsidR="000F02B5" w:rsidRDefault="00390BB3" w:rsidP="00600535">
      <w:pPr>
        <w:pStyle w:val="CETBodytext"/>
        <w:rPr>
          <w:lang w:val="en-GB"/>
        </w:rPr>
      </w:pPr>
      <w:r>
        <w:rPr>
          <w:lang w:val="en-GB"/>
        </w:rPr>
        <w:lastRenderedPageBreak/>
        <w:t>A pressure equalisation step was not employed and back-purge was from the H</w:t>
      </w:r>
      <w:r w:rsidRPr="00390BB3">
        <w:rPr>
          <w:vertAlign w:val="subscript"/>
          <w:lang w:val="en-GB"/>
        </w:rPr>
        <w:t>2</w:t>
      </w:r>
      <w:r>
        <w:rPr>
          <w:lang w:val="en-GB"/>
        </w:rPr>
        <w:t xml:space="preserve"> Product Receiver. </w:t>
      </w:r>
      <w:r w:rsidR="000F02B5">
        <w:rPr>
          <w:lang w:val="en-GB"/>
        </w:rPr>
        <w:t>In the Twin-</w:t>
      </w:r>
      <w:r w:rsidR="009F47C8">
        <w:rPr>
          <w:lang w:val="en-GB"/>
        </w:rPr>
        <w:t>b</w:t>
      </w:r>
      <w:r w:rsidR="000F02B5">
        <w:rPr>
          <w:lang w:val="en-GB"/>
        </w:rPr>
        <w:t xml:space="preserve">ed PSA, each valve can be set to open or close at a set time independent of any other valve. The design permits a very wide range of flow options and timings to be considered. In many of the key lines, a manual </w:t>
      </w:r>
      <w:r w:rsidR="008B370F">
        <w:rPr>
          <w:lang w:val="en-GB"/>
        </w:rPr>
        <w:t xml:space="preserve">flow control </w:t>
      </w:r>
      <w:r w:rsidR="000F02B5">
        <w:rPr>
          <w:lang w:val="en-GB"/>
        </w:rPr>
        <w:t>valve is positioned next to an actuated on-off valve – the setting on the manual valve can be adjusted. There w</w:t>
      </w:r>
      <w:r>
        <w:rPr>
          <w:lang w:val="en-GB"/>
        </w:rPr>
        <w:t>ere</w:t>
      </w:r>
      <w:r w:rsidR="000F02B5">
        <w:rPr>
          <w:lang w:val="en-GB"/>
        </w:rPr>
        <w:t xml:space="preserve"> also turbine flow meter</w:t>
      </w:r>
      <w:r>
        <w:rPr>
          <w:lang w:val="en-GB"/>
        </w:rPr>
        <w:t>s</w:t>
      </w:r>
      <w:r w:rsidR="000F02B5">
        <w:rPr>
          <w:lang w:val="en-GB"/>
        </w:rPr>
        <w:t xml:space="preserve"> positioned in the H</w:t>
      </w:r>
      <w:r w:rsidR="000F02B5" w:rsidRPr="000F02B5">
        <w:rPr>
          <w:vertAlign w:val="subscript"/>
          <w:lang w:val="en-GB"/>
        </w:rPr>
        <w:t>2</w:t>
      </w:r>
      <w:r w:rsidR="000F02B5">
        <w:rPr>
          <w:lang w:val="en-GB"/>
        </w:rPr>
        <w:t xml:space="preserve"> product line and in the pressure relief line. Pressures were measured with transducers in the syngas storage receiver, PSA bed</w:t>
      </w:r>
      <w:r w:rsidR="008B370F">
        <w:rPr>
          <w:lang w:val="en-GB"/>
        </w:rPr>
        <w:t>s,</w:t>
      </w:r>
      <w:r w:rsidR="000F02B5">
        <w:rPr>
          <w:lang w:val="en-GB"/>
        </w:rPr>
        <w:t xml:space="preserve"> and H</w:t>
      </w:r>
      <w:r w:rsidR="000F02B5" w:rsidRPr="008B370F">
        <w:rPr>
          <w:vertAlign w:val="subscript"/>
          <w:lang w:val="en-GB"/>
        </w:rPr>
        <w:t>2</w:t>
      </w:r>
      <w:r w:rsidR="000F02B5">
        <w:rPr>
          <w:lang w:val="en-GB"/>
        </w:rPr>
        <w:t xml:space="preserve"> </w:t>
      </w:r>
      <w:r w:rsidR="008B370F">
        <w:rPr>
          <w:lang w:val="en-GB"/>
        </w:rPr>
        <w:t>P</w:t>
      </w:r>
      <w:r w:rsidR="000F02B5">
        <w:rPr>
          <w:lang w:val="en-GB"/>
        </w:rPr>
        <w:t>roduct Receiver. Differential pressures were also measured across the adsorption beds. In PSA1, there were 15 RTDs located at 100 mm intervals in the axial direction, which protruded 50 mm into the bed – temperatures recorded provided useful information on the movement of the adsorption</w:t>
      </w:r>
      <w:r>
        <w:rPr>
          <w:lang w:val="en-GB"/>
        </w:rPr>
        <w:t xml:space="preserve"> and desorption</w:t>
      </w:r>
      <w:r w:rsidR="000F02B5">
        <w:rPr>
          <w:lang w:val="en-GB"/>
        </w:rPr>
        <w:t xml:space="preserve"> front</w:t>
      </w:r>
      <w:r>
        <w:rPr>
          <w:lang w:val="en-GB"/>
        </w:rPr>
        <w:t>s.</w:t>
      </w:r>
    </w:p>
    <w:p w14:paraId="4BE8EBF7" w14:textId="77777777" w:rsidR="00810A9E" w:rsidRPr="00B57B36" w:rsidRDefault="00810A9E" w:rsidP="00810A9E">
      <w:pPr>
        <w:pStyle w:val="CETHeading1"/>
      </w:pPr>
      <w:r w:rsidRPr="00B57B36">
        <w:t>Conclusions</w:t>
      </w:r>
    </w:p>
    <w:p w14:paraId="4AB7B8D1" w14:textId="0DEFF800" w:rsidR="00810A9E" w:rsidRDefault="008C35C6" w:rsidP="004462C1">
      <w:pPr>
        <w:pStyle w:val="CETBodytext"/>
        <w:rPr>
          <w:lang w:val="en-GB"/>
        </w:rPr>
      </w:pPr>
      <w:r>
        <w:rPr>
          <w:lang w:val="en-GB"/>
        </w:rPr>
        <w:t>The use of a</w:t>
      </w:r>
      <w:r w:rsidR="00B76AE7">
        <w:rPr>
          <w:lang w:val="en-GB"/>
        </w:rPr>
        <w:t>n</w:t>
      </w:r>
      <w:r>
        <w:rPr>
          <w:lang w:val="en-GB"/>
        </w:rPr>
        <w:t xml:space="preserve"> </w:t>
      </w:r>
      <w:r w:rsidR="004462C1">
        <w:rPr>
          <w:lang w:val="en-GB"/>
        </w:rPr>
        <w:t>8 m long</w:t>
      </w:r>
      <w:r>
        <w:rPr>
          <w:lang w:val="en-GB"/>
        </w:rPr>
        <w:t xml:space="preserve"> PSA bed, proved to be a very effective method of magnifying the </w:t>
      </w:r>
      <w:r w:rsidR="004462C1">
        <w:rPr>
          <w:lang w:val="en-GB"/>
        </w:rPr>
        <w:t xml:space="preserve">performance of the bed during the adsorption phase in the PSA </w:t>
      </w:r>
      <w:r w:rsidR="008B05F7">
        <w:rPr>
          <w:lang w:val="en-GB"/>
        </w:rPr>
        <w:t>Cycle. This happens a</w:t>
      </w:r>
      <w:r w:rsidR="004462C1">
        <w:rPr>
          <w:lang w:val="en-GB"/>
        </w:rPr>
        <w:t>lso in assessing the difference in performance of the bed</w:t>
      </w:r>
      <w:r w:rsidR="008A3438">
        <w:rPr>
          <w:lang w:val="en-GB"/>
        </w:rPr>
        <w:t xml:space="preserve"> (breakthrough)</w:t>
      </w:r>
      <w:r w:rsidR="004462C1">
        <w:rPr>
          <w:lang w:val="en-GB"/>
        </w:rPr>
        <w:t xml:space="preserve"> after back-purge</w:t>
      </w:r>
      <w:r w:rsidR="00B76AE7">
        <w:rPr>
          <w:lang w:val="en-GB"/>
        </w:rPr>
        <w:t>,</w:t>
      </w:r>
      <w:r w:rsidR="004462C1">
        <w:rPr>
          <w:lang w:val="en-GB"/>
        </w:rPr>
        <w:t xml:space="preserve"> when</w:t>
      </w:r>
      <w:r w:rsidR="00B76AE7">
        <w:rPr>
          <w:lang w:val="en-GB"/>
        </w:rPr>
        <w:t xml:space="preserve"> changes were made to</w:t>
      </w:r>
      <w:r w:rsidR="00553E34">
        <w:rPr>
          <w:lang w:val="en-GB"/>
        </w:rPr>
        <w:t>:</w:t>
      </w:r>
      <w:r w:rsidR="004462C1">
        <w:rPr>
          <w:lang w:val="en-GB"/>
        </w:rPr>
        <w:t xml:space="preserve"> </w:t>
      </w:r>
      <w:r w:rsidR="00B76AE7">
        <w:rPr>
          <w:lang w:val="en-GB"/>
        </w:rPr>
        <w:t>(a) purge</w:t>
      </w:r>
      <w:r w:rsidR="004462C1">
        <w:rPr>
          <w:lang w:val="en-GB"/>
        </w:rPr>
        <w:t xml:space="preserve"> flow, </w:t>
      </w:r>
      <w:r w:rsidR="00B76AE7">
        <w:rPr>
          <w:lang w:val="en-GB"/>
        </w:rPr>
        <w:t xml:space="preserve">(b) </w:t>
      </w:r>
      <w:r w:rsidR="004462C1">
        <w:rPr>
          <w:lang w:val="en-GB"/>
        </w:rPr>
        <w:t>duration</w:t>
      </w:r>
      <w:r w:rsidR="00B76AE7">
        <w:rPr>
          <w:lang w:val="en-GB"/>
        </w:rPr>
        <w:t xml:space="preserve"> of purge</w:t>
      </w:r>
      <w:r w:rsidR="004462C1">
        <w:rPr>
          <w:lang w:val="en-GB"/>
        </w:rPr>
        <w:t xml:space="preserve">, or </w:t>
      </w:r>
      <w:r w:rsidR="00B76AE7">
        <w:rPr>
          <w:lang w:val="en-GB"/>
        </w:rPr>
        <w:t xml:space="preserve">(c) purge </w:t>
      </w:r>
      <w:r w:rsidR="004462C1">
        <w:rPr>
          <w:lang w:val="en-GB"/>
        </w:rPr>
        <w:t xml:space="preserve">gas composition. </w:t>
      </w:r>
      <w:r w:rsidR="008B05F7">
        <w:rPr>
          <w:lang w:val="en-GB"/>
        </w:rPr>
        <w:t>The use of synthetic gas mixtures</w:t>
      </w:r>
      <w:r w:rsidR="00804959">
        <w:rPr>
          <w:lang w:val="en-GB"/>
        </w:rPr>
        <w:t xml:space="preserve"> was an effective method of</w:t>
      </w:r>
      <w:r w:rsidR="00553E34">
        <w:rPr>
          <w:lang w:val="en-GB"/>
        </w:rPr>
        <w:t xml:space="preserve"> developing the experimental technique,</w:t>
      </w:r>
      <w:r w:rsidR="00804959">
        <w:rPr>
          <w:lang w:val="en-GB"/>
        </w:rPr>
        <w:t xml:space="preserve"> </w:t>
      </w:r>
      <w:r w:rsidR="00553E34">
        <w:rPr>
          <w:lang w:val="en-GB"/>
        </w:rPr>
        <w:t xml:space="preserve">and </w:t>
      </w:r>
      <w:r w:rsidR="00804959">
        <w:rPr>
          <w:lang w:val="en-GB"/>
        </w:rPr>
        <w:t>screening</w:t>
      </w:r>
      <w:r w:rsidR="00553E34">
        <w:rPr>
          <w:lang w:val="en-GB"/>
        </w:rPr>
        <w:t>/</w:t>
      </w:r>
      <w:r w:rsidR="00804959">
        <w:rPr>
          <w:lang w:val="en-GB"/>
        </w:rPr>
        <w:t xml:space="preserve">assessing the performance of different adsorbents, without </w:t>
      </w:r>
      <w:r w:rsidR="00553E34">
        <w:rPr>
          <w:lang w:val="en-GB"/>
        </w:rPr>
        <w:t xml:space="preserve">incurring unnecessary </w:t>
      </w:r>
      <w:r w:rsidR="00804959">
        <w:rPr>
          <w:lang w:val="en-GB"/>
        </w:rPr>
        <w:t>cost and</w:t>
      </w:r>
      <w:r w:rsidR="002368E8">
        <w:rPr>
          <w:lang w:val="en-GB"/>
        </w:rPr>
        <w:t xml:space="preserve"> distraction by</w:t>
      </w:r>
      <w:r w:rsidR="00804959">
        <w:rPr>
          <w:lang w:val="en-GB"/>
        </w:rPr>
        <w:t xml:space="preserve"> having to operate the Gasifier</w:t>
      </w:r>
      <w:r w:rsidR="00553E34">
        <w:rPr>
          <w:lang w:val="en-GB"/>
        </w:rPr>
        <w:t xml:space="preserve"> to generate the Syngas</w:t>
      </w:r>
      <w:r w:rsidR="00804959">
        <w:rPr>
          <w:lang w:val="en-GB"/>
        </w:rPr>
        <w:t>.</w:t>
      </w:r>
    </w:p>
    <w:p w14:paraId="714BC3BE" w14:textId="46D35D62" w:rsidR="008B05F7" w:rsidRDefault="004462C1" w:rsidP="004462C1">
      <w:pPr>
        <w:pStyle w:val="CETBodytext"/>
        <w:rPr>
          <w:lang w:val="en-GB"/>
        </w:rPr>
      </w:pPr>
      <w:r w:rsidRPr="004462C1">
        <w:rPr>
          <w:lang w:val="en-GB"/>
        </w:rPr>
        <w:t>In large commercial SMR processes, th</w:t>
      </w:r>
      <w:r>
        <w:rPr>
          <w:lang w:val="en-GB"/>
        </w:rPr>
        <w:t>e syngas is produced at high pressure (</w:t>
      </w:r>
      <w:r w:rsidR="008B05F7">
        <w:rPr>
          <w:lang w:val="en-GB"/>
        </w:rPr>
        <w:t>e.g.,</w:t>
      </w:r>
      <w:r>
        <w:rPr>
          <w:lang w:val="en-GB"/>
        </w:rPr>
        <w:t xml:space="preserve"> 20 to 30 </w:t>
      </w:r>
      <w:proofErr w:type="spellStart"/>
      <w:r>
        <w:rPr>
          <w:lang w:val="en-GB"/>
        </w:rPr>
        <w:t>barg</w:t>
      </w:r>
      <w:proofErr w:type="spellEnd"/>
      <w:r>
        <w:rPr>
          <w:lang w:val="en-GB"/>
        </w:rPr>
        <w:t>)</w:t>
      </w:r>
      <w:r w:rsidR="00C675FF">
        <w:rPr>
          <w:lang w:val="en-GB"/>
        </w:rPr>
        <w:t xml:space="preserve">. </w:t>
      </w:r>
      <w:r>
        <w:rPr>
          <w:lang w:val="en-GB"/>
        </w:rPr>
        <w:t xml:space="preserve">Even in smaller scale SMR plants, operating pressures in the region of 10 </w:t>
      </w:r>
      <w:proofErr w:type="spellStart"/>
      <w:r>
        <w:rPr>
          <w:lang w:val="en-GB"/>
        </w:rPr>
        <w:t>barg</w:t>
      </w:r>
      <w:proofErr w:type="spellEnd"/>
      <w:r>
        <w:rPr>
          <w:lang w:val="en-GB"/>
        </w:rPr>
        <w:t xml:space="preserve"> are considered. However, in the application described in this paper,</w:t>
      </w:r>
      <w:r w:rsidR="00711DDC" w:rsidRPr="00711DDC">
        <w:rPr>
          <w:lang w:val="en-GB"/>
        </w:rPr>
        <w:t xml:space="preserve"> </w:t>
      </w:r>
      <w:r w:rsidR="00711DDC">
        <w:rPr>
          <w:lang w:val="en-GB"/>
        </w:rPr>
        <w:t>high pressure is not necessary to feed the Syngas into a Gas Engine,</w:t>
      </w:r>
      <w:r>
        <w:rPr>
          <w:lang w:val="en-GB"/>
        </w:rPr>
        <w:t xml:space="preserve"> the Syngas only </w:t>
      </w:r>
      <w:r w:rsidR="008B05F7">
        <w:rPr>
          <w:lang w:val="en-GB"/>
        </w:rPr>
        <w:t xml:space="preserve">need </w:t>
      </w:r>
      <w:r w:rsidR="00804959">
        <w:rPr>
          <w:lang w:val="en-GB"/>
        </w:rPr>
        <w:t xml:space="preserve">to </w:t>
      </w:r>
      <w:r>
        <w:rPr>
          <w:lang w:val="en-GB"/>
        </w:rPr>
        <w:t xml:space="preserve">be stored at about 200 </w:t>
      </w:r>
      <w:proofErr w:type="spellStart"/>
      <w:r>
        <w:rPr>
          <w:lang w:val="en-GB"/>
        </w:rPr>
        <w:t>mbarg</w:t>
      </w:r>
      <w:proofErr w:type="spellEnd"/>
      <w:r w:rsidR="00804959">
        <w:rPr>
          <w:lang w:val="en-GB"/>
        </w:rPr>
        <w:t>.</w:t>
      </w:r>
      <w:r w:rsidR="008B05F7">
        <w:rPr>
          <w:lang w:val="en-GB"/>
        </w:rPr>
        <w:t xml:space="preserve"> </w:t>
      </w:r>
      <w:r w:rsidR="00804959">
        <w:rPr>
          <w:lang w:val="en-GB"/>
        </w:rPr>
        <w:t xml:space="preserve">Therefore, </w:t>
      </w:r>
      <w:r>
        <w:rPr>
          <w:lang w:val="en-GB"/>
        </w:rPr>
        <w:t>showing in this study that a high purity of H</w:t>
      </w:r>
      <w:r w:rsidRPr="00804959">
        <w:rPr>
          <w:vertAlign w:val="subscript"/>
          <w:lang w:val="en-GB"/>
        </w:rPr>
        <w:t>2</w:t>
      </w:r>
      <w:r w:rsidR="00B76AE7">
        <w:rPr>
          <w:lang w:val="en-GB"/>
        </w:rPr>
        <w:t xml:space="preserve"> (&gt;95 vol%)</w:t>
      </w:r>
      <w:r>
        <w:rPr>
          <w:lang w:val="en-GB"/>
        </w:rPr>
        <w:t xml:space="preserve"> can be achieved at </w:t>
      </w:r>
      <w:r w:rsidR="00B76AE7">
        <w:rPr>
          <w:lang w:val="en-GB"/>
        </w:rPr>
        <w:t xml:space="preserve">even a </w:t>
      </w:r>
      <w:r>
        <w:rPr>
          <w:lang w:val="en-GB"/>
        </w:rPr>
        <w:t>relatively low pressure</w:t>
      </w:r>
      <w:r w:rsidR="00B76AE7">
        <w:rPr>
          <w:lang w:val="en-GB"/>
        </w:rPr>
        <w:t xml:space="preserve"> (e.g. 1.5 </w:t>
      </w:r>
      <w:proofErr w:type="spellStart"/>
      <w:r w:rsidR="00B76AE7">
        <w:rPr>
          <w:lang w:val="en-GB"/>
        </w:rPr>
        <w:t>barg</w:t>
      </w:r>
      <w:proofErr w:type="spellEnd"/>
      <w:r w:rsidR="00B76AE7">
        <w:rPr>
          <w:lang w:val="en-GB"/>
        </w:rPr>
        <w:t>)</w:t>
      </w:r>
      <w:r>
        <w:rPr>
          <w:lang w:val="en-GB"/>
        </w:rPr>
        <w:t xml:space="preserve"> is of significant interest.</w:t>
      </w:r>
      <w:r w:rsidR="00B76AE7">
        <w:rPr>
          <w:lang w:val="en-GB"/>
        </w:rPr>
        <w:t xml:space="preserve"> </w:t>
      </w:r>
    </w:p>
    <w:p w14:paraId="336F2DF6" w14:textId="6573F2DE" w:rsidR="004462C1" w:rsidRDefault="00B76AE7" w:rsidP="004462C1">
      <w:pPr>
        <w:pStyle w:val="CETBodytext"/>
        <w:rPr>
          <w:lang w:val="en-GB"/>
        </w:rPr>
      </w:pPr>
      <w:r>
        <w:rPr>
          <w:lang w:val="en-GB"/>
        </w:rPr>
        <w:t xml:space="preserve">Having said that, it is likely that the design strategy will centre around a higher </w:t>
      </w:r>
      <w:r w:rsidR="00553E34">
        <w:rPr>
          <w:lang w:val="en-GB"/>
        </w:rPr>
        <w:t xml:space="preserve">operating </w:t>
      </w:r>
      <w:r>
        <w:rPr>
          <w:lang w:val="en-GB"/>
        </w:rPr>
        <w:t>pressure (</w:t>
      </w:r>
      <w:r w:rsidR="008B05F7">
        <w:rPr>
          <w:lang w:val="en-GB"/>
        </w:rPr>
        <w:t>e.g.,</w:t>
      </w:r>
      <w:r>
        <w:rPr>
          <w:lang w:val="en-GB"/>
        </w:rPr>
        <w:t xml:space="preserve"> </w:t>
      </w:r>
      <w:r w:rsidR="00553E34">
        <w:rPr>
          <w:lang w:val="en-GB"/>
        </w:rPr>
        <w:t>4</w:t>
      </w:r>
      <w:r w:rsidR="000D7AA2">
        <w:rPr>
          <w:lang w:val="en-GB"/>
        </w:rPr>
        <w:t xml:space="preserve"> </w:t>
      </w:r>
      <w:r w:rsidR="00553E34">
        <w:rPr>
          <w:lang w:val="en-GB"/>
        </w:rPr>
        <w:t xml:space="preserve">- </w:t>
      </w:r>
      <w:r>
        <w:rPr>
          <w:lang w:val="en-GB"/>
        </w:rPr>
        <w:t xml:space="preserve">6 </w:t>
      </w:r>
      <w:proofErr w:type="spellStart"/>
      <w:r>
        <w:rPr>
          <w:lang w:val="en-GB"/>
        </w:rPr>
        <w:t>barg</w:t>
      </w:r>
      <w:proofErr w:type="spellEnd"/>
      <w:r>
        <w:rPr>
          <w:lang w:val="en-GB"/>
        </w:rPr>
        <w:t>) for the 1</w:t>
      </w:r>
      <w:r w:rsidRPr="00B76AE7">
        <w:rPr>
          <w:vertAlign w:val="superscript"/>
          <w:lang w:val="en-GB"/>
        </w:rPr>
        <w:t>st</w:t>
      </w:r>
      <w:r>
        <w:rPr>
          <w:lang w:val="en-GB"/>
        </w:rPr>
        <w:t xml:space="preserve"> Stage, and a lower pressure (</w:t>
      </w:r>
      <w:r w:rsidR="008B05F7">
        <w:rPr>
          <w:lang w:val="en-GB"/>
        </w:rPr>
        <w:t>e.g.,</w:t>
      </w:r>
      <w:r>
        <w:rPr>
          <w:lang w:val="en-GB"/>
        </w:rPr>
        <w:t xml:space="preserve"> </w:t>
      </w:r>
      <w:r w:rsidR="00553E34">
        <w:rPr>
          <w:lang w:val="en-GB"/>
        </w:rPr>
        <w:t>2</w:t>
      </w:r>
      <w:r w:rsidR="000D7AA2">
        <w:rPr>
          <w:lang w:val="en-GB"/>
        </w:rPr>
        <w:t xml:space="preserve"> </w:t>
      </w:r>
      <w:r w:rsidR="00553E34">
        <w:rPr>
          <w:lang w:val="en-GB"/>
        </w:rPr>
        <w:t xml:space="preserve">- </w:t>
      </w:r>
      <w:r>
        <w:rPr>
          <w:lang w:val="en-GB"/>
        </w:rPr>
        <w:t xml:space="preserve">3 </w:t>
      </w:r>
      <w:proofErr w:type="spellStart"/>
      <w:r>
        <w:rPr>
          <w:lang w:val="en-GB"/>
        </w:rPr>
        <w:t>barg</w:t>
      </w:r>
      <w:proofErr w:type="spellEnd"/>
      <w:r>
        <w:rPr>
          <w:lang w:val="en-GB"/>
        </w:rPr>
        <w:t>) for the 2</w:t>
      </w:r>
      <w:r w:rsidRPr="00BD4EE8">
        <w:rPr>
          <w:vertAlign w:val="superscript"/>
          <w:lang w:val="en-GB"/>
        </w:rPr>
        <w:t>nd</w:t>
      </w:r>
      <w:r>
        <w:rPr>
          <w:lang w:val="en-GB"/>
        </w:rPr>
        <w:t xml:space="preserve"> Stage.</w:t>
      </w:r>
      <w:r w:rsidR="002368E8">
        <w:rPr>
          <w:lang w:val="en-GB"/>
        </w:rPr>
        <w:t xml:space="preserve"> </w:t>
      </w:r>
      <w:r>
        <w:rPr>
          <w:lang w:val="en-GB"/>
        </w:rPr>
        <w:t>The Two-</w:t>
      </w:r>
      <w:r w:rsidR="000D7AA2">
        <w:rPr>
          <w:lang w:val="en-GB"/>
        </w:rPr>
        <w:t>S</w:t>
      </w:r>
      <w:r>
        <w:rPr>
          <w:lang w:val="en-GB"/>
        </w:rPr>
        <w:t xml:space="preserve">tage </w:t>
      </w:r>
      <w:r w:rsidR="000D7AA2">
        <w:rPr>
          <w:lang w:val="en-GB"/>
        </w:rPr>
        <w:t>T</w:t>
      </w:r>
      <w:r>
        <w:rPr>
          <w:lang w:val="en-GB"/>
        </w:rPr>
        <w:t>win-</w:t>
      </w:r>
      <w:r w:rsidR="009F47C8">
        <w:rPr>
          <w:lang w:val="en-GB"/>
        </w:rPr>
        <w:t>b</w:t>
      </w:r>
      <w:r>
        <w:rPr>
          <w:lang w:val="en-GB"/>
        </w:rPr>
        <w:t>ed PSA scheme which has been developed offers a relatively simple way of producing &gt;60 vol% H</w:t>
      </w:r>
      <w:r w:rsidRPr="00B76AE7">
        <w:rPr>
          <w:vertAlign w:val="subscript"/>
          <w:lang w:val="en-GB"/>
        </w:rPr>
        <w:t>2</w:t>
      </w:r>
      <w:r>
        <w:rPr>
          <w:lang w:val="en-GB"/>
        </w:rPr>
        <w:t xml:space="preserve"> in the 1</w:t>
      </w:r>
      <w:r w:rsidRPr="00B76AE7">
        <w:rPr>
          <w:vertAlign w:val="superscript"/>
          <w:lang w:val="en-GB"/>
        </w:rPr>
        <w:t>st</w:t>
      </w:r>
      <w:r>
        <w:rPr>
          <w:lang w:val="en-GB"/>
        </w:rPr>
        <w:t xml:space="preserve"> Stage, and then </w:t>
      </w:r>
      <w:r w:rsidR="00804959">
        <w:rPr>
          <w:lang w:val="en-GB"/>
        </w:rPr>
        <w:t>progressing to a</w:t>
      </w:r>
      <w:r>
        <w:rPr>
          <w:lang w:val="en-GB"/>
        </w:rPr>
        <w:t xml:space="preserve"> higher purity (&gt;95 vol%) in the 2</w:t>
      </w:r>
      <w:r w:rsidRPr="00B76AE7">
        <w:rPr>
          <w:vertAlign w:val="superscript"/>
          <w:lang w:val="en-GB"/>
        </w:rPr>
        <w:t>nd</w:t>
      </w:r>
      <w:r>
        <w:rPr>
          <w:lang w:val="en-GB"/>
        </w:rPr>
        <w:t xml:space="preserve"> Stage. In this manner, product wastage is reduced</w:t>
      </w:r>
      <w:r w:rsidR="002368E8">
        <w:rPr>
          <w:lang w:val="en-GB"/>
        </w:rPr>
        <w:t>, h</w:t>
      </w:r>
      <w:r w:rsidR="00553E34">
        <w:rPr>
          <w:lang w:val="en-GB"/>
        </w:rPr>
        <w:t>owever, i</w:t>
      </w:r>
      <w:r w:rsidR="00804959">
        <w:rPr>
          <w:lang w:val="en-GB"/>
        </w:rPr>
        <w:t xml:space="preserve">n this waste-to-energy setting, </w:t>
      </w:r>
      <w:r w:rsidR="002368E8">
        <w:rPr>
          <w:lang w:val="en-GB"/>
        </w:rPr>
        <w:t>this</w:t>
      </w:r>
      <w:r w:rsidR="00804959">
        <w:rPr>
          <w:lang w:val="en-GB"/>
        </w:rPr>
        <w:t xml:space="preserve"> is less of a problem, because the </w:t>
      </w:r>
      <w:r w:rsidR="008B05F7">
        <w:rPr>
          <w:lang w:val="en-GB"/>
        </w:rPr>
        <w:t>H2-depleted</w:t>
      </w:r>
      <w:r w:rsidR="00804959">
        <w:rPr>
          <w:lang w:val="en-GB"/>
        </w:rPr>
        <w:t xml:space="preserve"> spent streams, can be sent to the Gas Engine and electricity produced.</w:t>
      </w:r>
    </w:p>
    <w:p w14:paraId="3B0C9BE5" w14:textId="5B761CEF" w:rsidR="00804959" w:rsidRDefault="00804959" w:rsidP="004462C1">
      <w:pPr>
        <w:pStyle w:val="CETBodytext"/>
        <w:rPr>
          <w:lang w:val="en-GB"/>
        </w:rPr>
      </w:pPr>
      <w:r>
        <w:rPr>
          <w:lang w:val="en-GB"/>
        </w:rPr>
        <w:t>In trials with real Syngas from a gasifier processing RDF</w:t>
      </w:r>
      <w:r w:rsidR="00553E34">
        <w:rPr>
          <w:lang w:val="en-GB"/>
        </w:rPr>
        <w:t>,</w:t>
      </w:r>
      <w:r>
        <w:rPr>
          <w:lang w:val="en-GB"/>
        </w:rPr>
        <w:t xml:space="preserve"> it was shown that</w:t>
      </w:r>
      <w:r w:rsidR="00553E34">
        <w:rPr>
          <w:lang w:val="en-GB"/>
        </w:rPr>
        <w:t xml:space="preserve"> </w:t>
      </w:r>
      <w:r w:rsidR="008960F3">
        <w:rPr>
          <w:lang w:val="en-GB"/>
        </w:rPr>
        <w:t xml:space="preserve">even </w:t>
      </w:r>
      <w:r w:rsidR="00B86640">
        <w:rPr>
          <w:lang w:val="en-GB"/>
        </w:rPr>
        <w:t xml:space="preserve">in </w:t>
      </w:r>
      <w:r w:rsidR="008960F3">
        <w:rPr>
          <w:lang w:val="en-GB"/>
        </w:rPr>
        <w:t>a 1</w:t>
      </w:r>
      <w:r w:rsidR="008960F3" w:rsidRPr="008960F3">
        <w:rPr>
          <w:vertAlign w:val="superscript"/>
          <w:lang w:val="en-GB"/>
        </w:rPr>
        <w:t>st</w:t>
      </w:r>
      <w:r w:rsidR="008960F3">
        <w:rPr>
          <w:lang w:val="en-GB"/>
        </w:rPr>
        <w:t xml:space="preserve"> Stage </w:t>
      </w:r>
      <w:r w:rsidR="000D7AA2">
        <w:rPr>
          <w:lang w:val="en-GB"/>
        </w:rPr>
        <w:t>T</w:t>
      </w:r>
      <w:r w:rsidR="008960F3">
        <w:rPr>
          <w:lang w:val="en-GB"/>
        </w:rPr>
        <w:t>win-</w:t>
      </w:r>
      <w:r w:rsidR="000D7AA2">
        <w:rPr>
          <w:lang w:val="en-GB"/>
        </w:rPr>
        <w:t>B</w:t>
      </w:r>
      <w:r w:rsidR="008960F3">
        <w:rPr>
          <w:lang w:val="en-GB"/>
        </w:rPr>
        <w:t xml:space="preserve">ed </w:t>
      </w:r>
      <w:r w:rsidR="00553E34">
        <w:rPr>
          <w:lang w:val="en-GB"/>
        </w:rPr>
        <w:t>PSA</w:t>
      </w:r>
      <w:r w:rsidR="008960F3">
        <w:rPr>
          <w:lang w:val="en-GB"/>
        </w:rPr>
        <w:t xml:space="preserve"> (bed diameter 880 mm; length 1.5 m) that</w:t>
      </w:r>
      <w:r w:rsidR="00553E34">
        <w:rPr>
          <w:lang w:val="en-GB"/>
        </w:rPr>
        <w:t xml:space="preserve"> an adequate purity of</w:t>
      </w:r>
      <w:r>
        <w:rPr>
          <w:lang w:val="en-GB"/>
        </w:rPr>
        <w:t xml:space="preserve"> H</w:t>
      </w:r>
      <w:r w:rsidRPr="00804959">
        <w:rPr>
          <w:vertAlign w:val="subscript"/>
          <w:lang w:val="en-GB"/>
        </w:rPr>
        <w:t>2</w:t>
      </w:r>
      <w:r>
        <w:rPr>
          <w:lang w:val="en-GB"/>
        </w:rPr>
        <w:t xml:space="preserve"> </w:t>
      </w:r>
      <w:r w:rsidR="008960F3">
        <w:rPr>
          <w:lang w:val="en-GB"/>
        </w:rPr>
        <w:t>(</w:t>
      </w:r>
      <w:r w:rsidR="00770647">
        <w:rPr>
          <w:lang w:val="en-GB"/>
        </w:rPr>
        <w:t>as an energy vector</w:t>
      </w:r>
      <w:r w:rsidR="008960F3">
        <w:rPr>
          <w:lang w:val="en-GB"/>
        </w:rPr>
        <w:t>)</w:t>
      </w:r>
      <w:r w:rsidR="00770647">
        <w:rPr>
          <w:lang w:val="en-GB"/>
        </w:rPr>
        <w:t xml:space="preserve"> </w:t>
      </w:r>
      <w:r w:rsidR="00553E34">
        <w:rPr>
          <w:lang w:val="en-GB"/>
        </w:rPr>
        <w:t>can be</w:t>
      </w:r>
      <w:r>
        <w:rPr>
          <w:lang w:val="en-GB"/>
        </w:rPr>
        <w:t xml:space="preserve"> produced – demonstrating at a </w:t>
      </w:r>
      <w:r w:rsidR="00770647">
        <w:rPr>
          <w:lang w:val="en-GB"/>
        </w:rPr>
        <w:t>pilot</w:t>
      </w:r>
      <w:r>
        <w:rPr>
          <w:lang w:val="en-GB"/>
        </w:rPr>
        <w:t>-plant scale</w:t>
      </w:r>
      <w:r w:rsidR="009F47C8">
        <w:rPr>
          <w:lang w:val="en-GB"/>
        </w:rPr>
        <w:t xml:space="preserve"> </w:t>
      </w:r>
      <w:r w:rsidR="00B86640">
        <w:rPr>
          <w:lang w:val="en-GB"/>
        </w:rPr>
        <w:t>(</w:t>
      </w:r>
      <w:r w:rsidR="009F47C8">
        <w:rPr>
          <w:lang w:val="en-GB"/>
        </w:rPr>
        <w:t>at a fraction of the cost</w:t>
      </w:r>
      <w:r w:rsidR="00B86640">
        <w:rPr>
          <w:lang w:val="en-GB"/>
        </w:rPr>
        <w:t xml:space="preserve"> a 3</w:t>
      </w:r>
      <w:r w:rsidR="00B86640" w:rsidRPr="00B86640">
        <w:rPr>
          <w:vertAlign w:val="superscript"/>
          <w:lang w:val="en-GB"/>
        </w:rPr>
        <w:t>rd</w:t>
      </w:r>
      <w:r w:rsidR="00B86640">
        <w:rPr>
          <w:lang w:val="en-GB"/>
        </w:rPr>
        <w:t xml:space="preserve"> party would have charged),</w:t>
      </w:r>
      <w:r>
        <w:rPr>
          <w:lang w:val="en-GB"/>
        </w:rPr>
        <w:t xml:space="preserve"> the concept of waste-to-</w:t>
      </w:r>
      <w:r w:rsidR="00770647">
        <w:rPr>
          <w:lang w:val="en-GB"/>
        </w:rPr>
        <w:t>hydrogen</w:t>
      </w:r>
      <w:r w:rsidR="00B86640">
        <w:rPr>
          <w:lang w:val="en-GB"/>
        </w:rPr>
        <w:t xml:space="preserve">, and gaining </w:t>
      </w:r>
      <w:r w:rsidR="00E9292A">
        <w:rPr>
          <w:lang w:val="en-GB"/>
        </w:rPr>
        <w:t xml:space="preserve">in-house </w:t>
      </w:r>
      <w:r w:rsidR="00B86640">
        <w:rPr>
          <w:lang w:val="en-GB"/>
        </w:rPr>
        <w:t>Intellectual Property in this field</w:t>
      </w:r>
      <w:r w:rsidR="00770647">
        <w:rPr>
          <w:lang w:val="en-GB"/>
        </w:rPr>
        <w:t>.</w:t>
      </w:r>
    </w:p>
    <w:p w14:paraId="35BD6F27" w14:textId="5F1203E3" w:rsidR="00810A9E" w:rsidRPr="004462C1" w:rsidRDefault="008960F3" w:rsidP="00600535">
      <w:pPr>
        <w:pStyle w:val="CETBodytext"/>
        <w:rPr>
          <w:lang w:val="en-GB"/>
        </w:rPr>
      </w:pPr>
      <w:r>
        <w:rPr>
          <w:lang w:val="en-GB"/>
        </w:rPr>
        <w:t xml:space="preserve">Further trials are now being planned on the </w:t>
      </w:r>
      <w:r w:rsidR="000D7AA2">
        <w:rPr>
          <w:lang w:val="en-GB"/>
        </w:rPr>
        <w:t>T</w:t>
      </w:r>
      <w:r>
        <w:rPr>
          <w:lang w:val="en-GB"/>
        </w:rPr>
        <w:t>win-</w:t>
      </w:r>
      <w:r w:rsidR="009F47C8">
        <w:rPr>
          <w:lang w:val="en-GB"/>
        </w:rPr>
        <w:t>b</w:t>
      </w:r>
      <w:r>
        <w:rPr>
          <w:lang w:val="en-GB"/>
        </w:rPr>
        <w:t>ed PSA scheme</w:t>
      </w:r>
      <w:r w:rsidR="00D35BC9">
        <w:rPr>
          <w:lang w:val="en-GB"/>
        </w:rPr>
        <w:t xml:space="preserve"> with two Stages</w:t>
      </w:r>
      <w:r w:rsidR="00196D1B">
        <w:rPr>
          <w:lang w:val="en-GB"/>
        </w:rPr>
        <w:t>: (a)</w:t>
      </w:r>
      <w:r>
        <w:rPr>
          <w:lang w:val="en-GB"/>
        </w:rPr>
        <w:t xml:space="preserve"> to demonstrate operation at</w:t>
      </w:r>
      <w:r w:rsidRPr="008960F3">
        <w:rPr>
          <w:lang w:val="en-GB"/>
        </w:rPr>
        <w:t xml:space="preserve"> </w:t>
      </w:r>
      <w:r>
        <w:rPr>
          <w:lang w:val="en-GB"/>
        </w:rPr>
        <w:t>higher Syngas pressures and feed rates</w:t>
      </w:r>
      <w:r w:rsidR="00196D1B">
        <w:rPr>
          <w:lang w:val="en-GB"/>
        </w:rPr>
        <w:t xml:space="preserve"> with a pressure </w:t>
      </w:r>
      <w:r w:rsidR="00E9292A">
        <w:rPr>
          <w:lang w:val="en-GB"/>
        </w:rPr>
        <w:t xml:space="preserve">equalization </w:t>
      </w:r>
      <w:r w:rsidR="00196D1B">
        <w:rPr>
          <w:lang w:val="en-GB"/>
        </w:rPr>
        <w:t>stage between the beds</w:t>
      </w:r>
      <w:r>
        <w:rPr>
          <w:lang w:val="en-GB"/>
        </w:rPr>
        <w:t xml:space="preserve">, </w:t>
      </w:r>
      <w:r w:rsidR="00D35BC9">
        <w:rPr>
          <w:lang w:val="en-GB"/>
        </w:rPr>
        <w:t xml:space="preserve">and </w:t>
      </w:r>
      <w:r w:rsidR="00196D1B">
        <w:rPr>
          <w:lang w:val="en-GB"/>
        </w:rPr>
        <w:t xml:space="preserve">(b) </w:t>
      </w:r>
      <w:r>
        <w:rPr>
          <w:lang w:val="en-GB"/>
        </w:rPr>
        <w:t>to produce 10 kg quantities of H</w:t>
      </w:r>
      <w:r w:rsidRPr="00222188">
        <w:rPr>
          <w:vertAlign w:val="subscript"/>
          <w:lang w:val="en-GB"/>
        </w:rPr>
        <w:t>2</w:t>
      </w:r>
      <w:r>
        <w:rPr>
          <w:lang w:val="en-GB"/>
        </w:rPr>
        <w:t xml:space="preserve"> in pressurized form, for </w:t>
      </w:r>
      <w:r w:rsidR="00222188">
        <w:rPr>
          <w:lang w:val="en-GB"/>
        </w:rPr>
        <w:t>use</w:t>
      </w:r>
      <w:r>
        <w:rPr>
          <w:lang w:val="en-GB"/>
        </w:rPr>
        <w:t xml:space="preserve"> on </w:t>
      </w:r>
      <w:r w:rsidR="00E9292A">
        <w:rPr>
          <w:lang w:val="en-GB"/>
        </w:rPr>
        <w:t>diesel-powered</w:t>
      </w:r>
      <w:r>
        <w:rPr>
          <w:lang w:val="en-GB"/>
        </w:rPr>
        <w:t xml:space="preserve"> trucks converted to run on </w:t>
      </w:r>
      <w:r w:rsidR="00222188">
        <w:rPr>
          <w:lang w:val="en-GB"/>
        </w:rPr>
        <w:t>H</w:t>
      </w:r>
      <w:r w:rsidR="00222188" w:rsidRPr="00222188">
        <w:rPr>
          <w:vertAlign w:val="subscript"/>
          <w:lang w:val="en-GB"/>
        </w:rPr>
        <w:t>2</w:t>
      </w:r>
      <w:r w:rsidR="00222188">
        <w:rPr>
          <w:lang w:val="en-GB"/>
        </w:rPr>
        <w:t xml:space="preserve"> (hybrid fuel: diesel/H</w:t>
      </w:r>
      <w:r w:rsidR="00222188" w:rsidRPr="00222188">
        <w:rPr>
          <w:vertAlign w:val="subscript"/>
          <w:lang w:val="en-GB"/>
        </w:rPr>
        <w:t>2</w:t>
      </w:r>
      <w:r w:rsidR="00222188">
        <w:rPr>
          <w:lang w:val="en-GB"/>
        </w:rPr>
        <w:t>)</w:t>
      </w:r>
      <w:r w:rsidR="00196D1B">
        <w:rPr>
          <w:lang w:val="en-GB"/>
        </w:rPr>
        <w:t>. T</w:t>
      </w:r>
      <w:r w:rsidR="00390BB3">
        <w:rPr>
          <w:lang w:val="en-GB"/>
        </w:rPr>
        <w:t>here is</w:t>
      </w:r>
      <w:r w:rsidR="00196D1B">
        <w:rPr>
          <w:lang w:val="en-GB"/>
        </w:rPr>
        <w:t xml:space="preserve"> also</w:t>
      </w:r>
      <w:r w:rsidR="00390BB3">
        <w:rPr>
          <w:lang w:val="en-GB"/>
        </w:rPr>
        <w:t xml:space="preserve"> interest in collaborating with 3</w:t>
      </w:r>
      <w:r w:rsidR="00390BB3" w:rsidRPr="00390BB3">
        <w:rPr>
          <w:vertAlign w:val="superscript"/>
          <w:lang w:val="en-GB"/>
        </w:rPr>
        <w:t>rd</w:t>
      </w:r>
      <w:r w:rsidR="00390BB3">
        <w:rPr>
          <w:lang w:val="en-GB"/>
        </w:rPr>
        <w:t xml:space="preserve"> parties in this field.</w:t>
      </w:r>
    </w:p>
    <w:p w14:paraId="56695F46" w14:textId="77777777" w:rsidR="00810A9E" w:rsidRPr="00B57B36" w:rsidRDefault="00810A9E" w:rsidP="00810A9E">
      <w:pPr>
        <w:pStyle w:val="CETAcknowledgementstitle"/>
      </w:pPr>
      <w:r w:rsidRPr="00B57B36">
        <w:t>Acknowledgments</w:t>
      </w:r>
    </w:p>
    <w:p w14:paraId="293AF830" w14:textId="1F202A3A" w:rsidR="00810A9E" w:rsidRDefault="00810A9E" w:rsidP="00600535">
      <w:pPr>
        <w:pStyle w:val="CETBodytext"/>
        <w:rPr>
          <w:lang w:val="en-GB"/>
        </w:rPr>
      </w:pPr>
      <w:r>
        <w:rPr>
          <w:lang w:val="en-GB"/>
        </w:rPr>
        <w:t>Grants</w:t>
      </w:r>
      <w:r w:rsidR="005254B2">
        <w:rPr>
          <w:lang w:val="en-GB"/>
        </w:rPr>
        <w:t xml:space="preserve"> and awards </w:t>
      </w:r>
      <w:r w:rsidR="005254B2" w:rsidRPr="00BD4EE8">
        <w:rPr>
          <w:lang w:val="en-GB"/>
        </w:rPr>
        <w:t xml:space="preserve">(Innovate Smart; BEIS, BECCS) </w:t>
      </w:r>
      <w:r>
        <w:rPr>
          <w:lang w:val="en-GB"/>
        </w:rPr>
        <w:t>from Department for Energy Security and Net Zero (DESNZ, in UK)</w:t>
      </w:r>
      <w:r w:rsidRPr="00810A9E">
        <w:rPr>
          <w:lang w:val="en-GB"/>
        </w:rPr>
        <w:t xml:space="preserve">; Chemical </w:t>
      </w:r>
      <w:r>
        <w:rPr>
          <w:lang w:val="en-GB"/>
        </w:rPr>
        <w:t>e</w:t>
      </w:r>
      <w:r w:rsidRPr="00810A9E">
        <w:rPr>
          <w:lang w:val="en-GB"/>
        </w:rPr>
        <w:t>ngineering design aspects (Bath Process Consultants Ltd); Mechanical design/construction/plant trials (Compact Syngas Solutions Ltd, Sandycroft, Clwyd, UK).</w:t>
      </w:r>
    </w:p>
    <w:p w14:paraId="61F513CC" w14:textId="77777777" w:rsidR="00810A9E" w:rsidRPr="00B57B36" w:rsidRDefault="00810A9E" w:rsidP="00810A9E">
      <w:pPr>
        <w:pStyle w:val="CETReference"/>
      </w:pPr>
      <w:r w:rsidRPr="00B57B36">
        <w:t>References</w:t>
      </w:r>
    </w:p>
    <w:p w14:paraId="5A038A0E" w14:textId="77777777" w:rsidR="00D35BC9" w:rsidRDefault="00EC5D3F" w:rsidP="00EC5D3F">
      <w:pPr>
        <w:pStyle w:val="CETBodytext"/>
        <w:rPr>
          <w:lang w:val="en-GB"/>
        </w:rPr>
      </w:pPr>
      <w:bookmarkStart w:id="12" w:name="_Hlk128420653"/>
      <w:r w:rsidRPr="005254B2">
        <w:rPr>
          <w:lang w:val="en-GB"/>
        </w:rPr>
        <w:t>Ackley</w:t>
      </w:r>
      <w:r>
        <w:rPr>
          <w:lang w:val="en-GB"/>
        </w:rPr>
        <w:t xml:space="preserve"> M.W.,</w:t>
      </w:r>
      <w:r w:rsidRPr="005254B2">
        <w:rPr>
          <w:lang w:val="en-GB"/>
        </w:rPr>
        <w:t xml:space="preserve"> 2019</w:t>
      </w:r>
      <w:r>
        <w:rPr>
          <w:lang w:val="en-GB"/>
        </w:rPr>
        <w:t>,</w:t>
      </w:r>
      <w:r w:rsidRPr="005254B2">
        <w:rPr>
          <w:lang w:val="en-GB"/>
        </w:rPr>
        <w:t xml:space="preserve"> Medical oxygen concentrator</w:t>
      </w:r>
      <w:r>
        <w:rPr>
          <w:lang w:val="en-GB"/>
        </w:rPr>
        <w:t xml:space="preserve">s: a review of progress in air separation technology, </w:t>
      </w:r>
      <w:r w:rsidR="00D35BC9">
        <w:rPr>
          <w:lang w:val="en-GB"/>
        </w:rPr>
        <w:t xml:space="preserve">  </w:t>
      </w:r>
    </w:p>
    <w:p w14:paraId="685A6664" w14:textId="437D0018" w:rsidR="00EC5D3F" w:rsidRPr="005254B2" w:rsidRDefault="00D35BC9" w:rsidP="00EC5D3F">
      <w:pPr>
        <w:pStyle w:val="CETBodytext"/>
        <w:rPr>
          <w:lang w:val="en-GB"/>
        </w:rPr>
      </w:pPr>
      <w:r>
        <w:rPr>
          <w:lang w:val="en-GB"/>
        </w:rPr>
        <w:t xml:space="preserve">      </w:t>
      </w:r>
      <w:r w:rsidR="00EC5D3F">
        <w:rPr>
          <w:lang w:val="en-GB"/>
        </w:rPr>
        <w:t>Adsorption, 25, 1437-1474.</w:t>
      </w:r>
    </w:p>
    <w:p w14:paraId="5ADDAF78" w14:textId="77777777" w:rsidR="00D35BC9" w:rsidRDefault="00EC5D3F" w:rsidP="00EC5D3F">
      <w:pPr>
        <w:pStyle w:val="CETBodytext"/>
        <w:rPr>
          <w:lang w:val="en-GB"/>
        </w:rPr>
      </w:pPr>
      <w:r w:rsidRPr="005254B2">
        <w:rPr>
          <w:lang w:val="en-GB"/>
        </w:rPr>
        <w:t>AIGA</w:t>
      </w:r>
      <w:r w:rsidRPr="006B29AB">
        <w:rPr>
          <w:lang w:val="en-GB"/>
        </w:rPr>
        <w:t xml:space="preserve"> (Asia Industrial Gases Association),</w:t>
      </w:r>
      <w:r w:rsidRPr="005254B2">
        <w:rPr>
          <w:lang w:val="en-GB"/>
        </w:rPr>
        <w:t xml:space="preserve"> 2018</w:t>
      </w:r>
      <w:r w:rsidRPr="006B29AB">
        <w:rPr>
          <w:lang w:val="en-GB"/>
        </w:rPr>
        <w:t>, Hydrogen Pressure Swing Adsorber (PSA) Mechanical Integr</w:t>
      </w:r>
      <w:r>
        <w:rPr>
          <w:lang w:val="en-GB"/>
        </w:rPr>
        <w:t xml:space="preserve">ity </w:t>
      </w:r>
    </w:p>
    <w:p w14:paraId="3197814C" w14:textId="220BD5EC" w:rsidR="00EC5D3F" w:rsidRPr="005254B2" w:rsidRDefault="00D35BC9" w:rsidP="00EC5D3F">
      <w:pPr>
        <w:pStyle w:val="CETBodytext"/>
        <w:rPr>
          <w:lang w:val="en-GB"/>
        </w:rPr>
      </w:pPr>
      <w:r>
        <w:rPr>
          <w:lang w:val="en-GB"/>
        </w:rPr>
        <w:t xml:space="preserve">      </w:t>
      </w:r>
      <w:r w:rsidR="00EC5D3F">
        <w:rPr>
          <w:lang w:val="en-GB"/>
        </w:rPr>
        <w:t>Requirements, AIGA 100/18, Reproduced with permission from Compressed Gas Association, Inc.</w:t>
      </w:r>
    </w:p>
    <w:p w14:paraId="21707913" w14:textId="77777777" w:rsidR="00FF2591" w:rsidRDefault="00FF2591" w:rsidP="00EC5D3F">
      <w:pPr>
        <w:pStyle w:val="CETBodytext"/>
        <w:rPr>
          <w:lang w:val="en-GB"/>
        </w:rPr>
      </w:pPr>
      <w:bookmarkStart w:id="13" w:name="_Hlk128423134"/>
      <w:r w:rsidRPr="00FF2591">
        <w:rPr>
          <w:lang w:val="en-GB"/>
        </w:rPr>
        <w:t>Chou C.</w:t>
      </w:r>
      <w:r>
        <w:rPr>
          <w:lang w:val="en-GB"/>
        </w:rPr>
        <w:t xml:space="preserve"> T.</w:t>
      </w:r>
      <w:r w:rsidRPr="00FF2591">
        <w:rPr>
          <w:lang w:val="en-GB"/>
        </w:rPr>
        <w:t>, Chen F.</w:t>
      </w:r>
      <w:r>
        <w:rPr>
          <w:lang w:val="en-GB"/>
        </w:rPr>
        <w:t xml:space="preserve"> H.</w:t>
      </w:r>
      <w:r w:rsidRPr="00FF2591">
        <w:rPr>
          <w:lang w:val="en-GB"/>
        </w:rPr>
        <w:t>, Huang Y.</w:t>
      </w:r>
      <w:r>
        <w:rPr>
          <w:lang w:val="en-GB"/>
        </w:rPr>
        <w:t xml:space="preserve"> J.</w:t>
      </w:r>
      <w:r w:rsidRPr="00FF2591">
        <w:rPr>
          <w:lang w:val="en-GB"/>
        </w:rPr>
        <w:t>, Yang H.</w:t>
      </w:r>
      <w:r>
        <w:rPr>
          <w:lang w:val="en-GB"/>
        </w:rPr>
        <w:t xml:space="preserve"> S.</w:t>
      </w:r>
      <w:r w:rsidRPr="00FF2591">
        <w:rPr>
          <w:lang w:val="en-GB"/>
        </w:rPr>
        <w:t xml:space="preserve">, 2013, Carbon </w:t>
      </w:r>
      <w:r>
        <w:rPr>
          <w:lang w:val="en-GB"/>
        </w:rPr>
        <w:t>d</w:t>
      </w:r>
      <w:r w:rsidRPr="00FF2591">
        <w:rPr>
          <w:lang w:val="en-GB"/>
        </w:rPr>
        <w:t xml:space="preserve">ioxide </w:t>
      </w:r>
      <w:r>
        <w:rPr>
          <w:lang w:val="en-GB"/>
        </w:rPr>
        <w:t>c</w:t>
      </w:r>
      <w:r w:rsidRPr="00FF2591">
        <w:rPr>
          <w:lang w:val="en-GB"/>
        </w:rPr>
        <w:t xml:space="preserve">apture and </w:t>
      </w:r>
      <w:r>
        <w:rPr>
          <w:lang w:val="en-GB"/>
        </w:rPr>
        <w:t>h</w:t>
      </w:r>
      <w:r w:rsidRPr="00FF2591">
        <w:rPr>
          <w:lang w:val="en-GB"/>
        </w:rPr>
        <w:t xml:space="preserve">ydrogen </w:t>
      </w:r>
      <w:r>
        <w:rPr>
          <w:lang w:val="en-GB"/>
        </w:rPr>
        <w:t>p</w:t>
      </w:r>
      <w:r w:rsidRPr="00FF2591">
        <w:rPr>
          <w:lang w:val="en-GB"/>
        </w:rPr>
        <w:t>ur</w:t>
      </w:r>
      <w:r>
        <w:rPr>
          <w:lang w:val="en-GB"/>
        </w:rPr>
        <w:t xml:space="preserve">ification from  </w:t>
      </w:r>
    </w:p>
    <w:p w14:paraId="1E4FB39F" w14:textId="77777777" w:rsidR="00FF2591" w:rsidRDefault="00FF2591" w:rsidP="00EC5D3F">
      <w:pPr>
        <w:pStyle w:val="CETBodytext"/>
        <w:rPr>
          <w:lang w:val="en-GB"/>
        </w:rPr>
      </w:pPr>
      <w:r>
        <w:rPr>
          <w:lang w:val="en-GB"/>
        </w:rPr>
        <w:t xml:space="preserve">       synthesis gas by pressure swing adsorption, Chemical Engineering Transactions, 32, 1855-1860 DOI: </w:t>
      </w:r>
    </w:p>
    <w:p w14:paraId="3D58DAA5" w14:textId="510AEC18" w:rsidR="00FF2591" w:rsidRPr="00FF2591" w:rsidRDefault="00FF2591" w:rsidP="00EC5D3F">
      <w:pPr>
        <w:pStyle w:val="CETBodytext"/>
        <w:rPr>
          <w:lang w:val="en-GB"/>
        </w:rPr>
      </w:pPr>
      <w:r>
        <w:rPr>
          <w:lang w:val="en-GB"/>
        </w:rPr>
        <w:t xml:space="preserve">       10.3303/CET1332310.</w:t>
      </w:r>
    </w:p>
    <w:p w14:paraId="71ABCE60" w14:textId="5AC7C837" w:rsidR="00EC5D3F" w:rsidRPr="00BD4EE8" w:rsidRDefault="00EC5D3F" w:rsidP="00EC5D3F">
      <w:pPr>
        <w:pStyle w:val="CETBodytext"/>
        <w:rPr>
          <w:lang w:val="en-GB"/>
        </w:rPr>
      </w:pPr>
      <w:r w:rsidRPr="00BD4EE8">
        <w:rPr>
          <w:lang w:val="en-GB"/>
        </w:rPr>
        <w:t>Crittenden B., Thomas W.J., 1998</w:t>
      </w:r>
      <w:bookmarkEnd w:id="13"/>
      <w:r w:rsidRPr="00BD4EE8">
        <w:rPr>
          <w:lang w:val="en-GB"/>
        </w:rPr>
        <w:t>, Adsorption Technology &amp; Design, Butterworth-Heinemann.</w:t>
      </w:r>
    </w:p>
    <w:p w14:paraId="7162E16C" w14:textId="77777777" w:rsidR="009239D9" w:rsidRPr="005254B2" w:rsidRDefault="009239D9" w:rsidP="009239D9">
      <w:pPr>
        <w:pStyle w:val="CETBodytext"/>
        <w:rPr>
          <w:lang w:val="en-GB"/>
        </w:rPr>
      </w:pPr>
      <w:proofErr w:type="spellStart"/>
      <w:r w:rsidRPr="005254B2">
        <w:rPr>
          <w:lang w:val="en-GB"/>
        </w:rPr>
        <w:t>Higman</w:t>
      </w:r>
      <w:proofErr w:type="spellEnd"/>
      <w:r w:rsidRPr="005254B2">
        <w:rPr>
          <w:lang w:val="en-GB"/>
        </w:rPr>
        <w:t xml:space="preserve"> C., van der </w:t>
      </w:r>
      <w:proofErr w:type="spellStart"/>
      <w:r w:rsidRPr="005254B2">
        <w:rPr>
          <w:lang w:val="en-GB"/>
        </w:rPr>
        <w:t>Burgt</w:t>
      </w:r>
      <w:proofErr w:type="spellEnd"/>
      <w:r w:rsidRPr="005254B2">
        <w:rPr>
          <w:lang w:val="en-GB"/>
        </w:rPr>
        <w:t xml:space="preserve">  M., 2003, Gasification, Gulf Professional Publishing, Elsevier. </w:t>
      </w:r>
    </w:p>
    <w:p w14:paraId="796ED116" w14:textId="77777777" w:rsidR="009239D9" w:rsidRPr="005254B2" w:rsidRDefault="009239D9" w:rsidP="009239D9">
      <w:pPr>
        <w:pStyle w:val="CETBodytext"/>
        <w:rPr>
          <w:lang w:val="en-GB"/>
        </w:rPr>
      </w:pPr>
      <w:proofErr w:type="spellStart"/>
      <w:r w:rsidRPr="005254B2">
        <w:rPr>
          <w:lang w:val="en-GB"/>
        </w:rPr>
        <w:t>Knoef</w:t>
      </w:r>
      <w:proofErr w:type="spellEnd"/>
      <w:r w:rsidRPr="002852F4">
        <w:rPr>
          <w:lang w:val="en-GB"/>
        </w:rPr>
        <w:t xml:space="preserve"> H. (Ed.),</w:t>
      </w:r>
      <w:r w:rsidRPr="005254B2">
        <w:rPr>
          <w:lang w:val="en-GB"/>
        </w:rPr>
        <w:t xml:space="preserve"> 2005</w:t>
      </w:r>
      <w:r w:rsidRPr="002852F4">
        <w:rPr>
          <w:lang w:val="en-GB"/>
        </w:rPr>
        <w:t>, Handbook Biomass Gasificatio</w:t>
      </w:r>
      <w:r>
        <w:rPr>
          <w:lang w:val="en-GB"/>
        </w:rPr>
        <w:t>n, BTG biomass technology group BV, The Netherlands.</w:t>
      </w:r>
    </w:p>
    <w:p w14:paraId="02F7F822" w14:textId="77777777" w:rsidR="00D35BC9" w:rsidRPr="00BD4EE8" w:rsidRDefault="005254B2" w:rsidP="005254B2">
      <w:pPr>
        <w:pStyle w:val="CETBodytext"/>
        <w:rPr>
          <w:lang w:val="en-GB"/>
        </w:rPr>
      </w:pPr>
      <w:proofErr w:type="spellStart"/>
      <w:r w:rsidRPr="00BD4EE8">
        <w:rPr>
          <w:lang w:val="en-GB"/>
        </w:rPr>
        <w:t>Rostrup</w:t>
      </w:r>
      <w:proofErr w:type="spellEnd"/>
      <w:r w:rsidRPr="00BD4EE8">
        <w:rPr>
          <w:lang w:val="en-GB"/>
        </w:rPr>
        <w:t>-Nielsen J., Christiansen L., 2011</w:t>
      </w:r>
      <w:bookmarkEnd w:id="12"/>
      <w:r w:rsidRPr="00BD4EE8">
        <w:rPr>
          <w:lang w:val="en-GB"/>
        </w:rPr>
        <w:t xml:space="preserve">, Concepts in Syngas Manufacture, Catalytic Science Series – Vol. 10, </w:t>
      </w:r>
    </w:p>
    <w:p w14:paraId="5FCBFD66" w14:textId="28068E24" w:rsidR="002852F4" w:rsidRPr="00BD4EE8" w:rsidRDefault="00D35BC9" w:rsidP="005254B2">
      <w:pPr>
        <w:pStyle w:val="CETBodytext"/>
        <w:rPr>
          <w:lang w:val="en-GB"/>
        </w:rPr>
      </w:pPr>
      <w:r w:rsidRPr="00BD4EE8">
        <w:rPr>
          <w:lang w:val="en-GB"/>
        </w:rPr>
        <w:t xml:space="preserve">      </w:t>
      </w:r>
      <w:r w:rsidR="005254B2" w:rsidRPr="00BD4EE8">
        <w:rPr>
          <w:lang w:val="en-GB"/>
        </w:rPr>
        <w:t xml:space="preserve">Series Editor: Hutchings G., Imperial College Press.                                                                                    </w:t>
      </w:r>
    </w:p>
    <w:p w14:paraId="5A0623CE" w14:textId="77777777" w:rsidR="00D35BC9" w:rsidRPr="00BD4EE8" w:rsidRDefault="005254B2" w:rsidP="005254B2">
      <w:pPr>
        <w:pStyle w:val="CETBodytext"/>
        <w:rPr>
          <w:lang w:val="en-GB"/>
        </w:rPr>
      </w:pPr>
      <w:proofErr w:type="spellStart"/>
      <w:r w:rsidRPr="00BD4EE8">
        <w:rPr>
          <w:lang w:val="en-GB"/>
        </w:rPr>
        <w:t>Skarstrom</w:t>
      </w:r>
      <w:proofErr w:type="spellEnd"/>
      <w:r w:rsidR="00EC5D3F" w:rsidRPr="00BD4EE8">
        <w:rPr>
          <w:lang w:val="en-GB"/>
        </w:rPr>
        <w:t xml:space="preserve"> C.W.,</w:t>
      </w:r>
      <w:r w:rsidRPr="00BD4EE8">
        <w:rPr>
          <w:lang w:val="en-GB"/>
        </w:rPr>
        <w:t xml:space="preserve"> 1960</w:t>
      </w:r>
      <w:r w:rsidR="00EC5D3F" w:rsidRPr="00BD4EE8">
        <w:rPr>
          <w:lang w:val="en-GB"/>
        </w:rPr>
        <w:t xml:space="preserve">, Method and apparatus for fractionating gaseous mixtures by adsorption, US Patent, </w:t>
      </w:r>
    </w:p>
    <w:p w14:paraId="52A73F5E" w14:textId="4841833B" w:rsidR="00F63322" w:rsidRPr="002852F4" w:rsidRDefault="00D35BC9" w:rsidP="00390BB3">
      <w:pPr>
        <w:pStyle w:val="CETBodytext"/>
      </w:pPr>
      <w:r>
        <w:t xml:space="preserve">      </w:t>
      </w:r>
      <w:r w:rsidR="00EC5D3F">
        <w:t>2,944,627.</w:t>
      </w:r>
    </w:p>
    <w:sectPr w:rsidR="00F63322" w:rsidRPr="002852F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2DB1B" w14:textId="77777777" w:rsidR="00822C4F" w:rsidRDefault="00822C4F" w:rsidP="004F5E36">
      <w:r>
        <w:separator/>
      </w:r>
    </w:p>
  </w:endnote>
  <w:endnote w:type="continuationSeparator" w:id="0">
    <w:p w14:paraId="1FBDF0E1" w14:textId="77777777" w:rsidR="00822C4F" w:rsidRDefault="00822C4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221C3" w14:textId="77777777" w:rsidR="00822C4F" w:rsidRDefault="00822C4F" w:rsidP="004F5E36">
      <w:r>
        <w:separator/>
      </w:r>
    </w:p>
  </w:footnote>
  <w:footnote w:type="continuationSeparator" w:id="0">
    <w:p w14:paraId="59431468" w14:textId="77777777" w:rsidR="00822C4F" w:rsidRDefault="00822C4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AA7CB7"/>
    <w:multiLevelType w:val="hybridMultilevel"/>
    <w:tmpl w:val="C05E89D2"/>
    <w:lvl w:ilvl="0" w:tplc="C35C112A">
      <w:start w:val="1"/>
      <w:numFmt w:val="lowerLetter"/>
      <w:lvlText w:val="(%1)"/>
      <w:lvlJc w:val="left"/>
      <w:pPr>
        <w:ind w:left="2565" w:hanging="360"/>
      </w:pPr>
      <w:rPr>
        <w:rFonts w:hint="default"/>
      </w:rPr>
    </w:lvl>
    <w:lvl w:ilvl="1" w:tplc="08090019" w:tentative="1">
      <w:start w:val="1"/>
      <w:numFmt w:val="lowerLetter"/>
      <w:lvlText w:val="%2."/>
      <w:lvlJc w:val="left"/>
      <w:pPr>
        <w:ind w:left="3285" w:hanging="360"/>
      </w:pPr>
    </w:lvl>
    <w:lvl w:ilvl="2" w:tplc="0809001B" w:tentative="1">
      <w:start w:val="1"/>
      <w:numFmt w:val="lowerRoman"/>
      <w:lvlText w:val="%3."/>
      <w:lvlJc w:val="right"/>
      <w:pPr>
        <w:ind w:left="4005" w:hanging="180"/>
      </w:pPr>
    </w:lvl>
    <w:lvl w:ilvl="3" w:tplc="0809000F" w:tentative="1">
      <w:start w:val="1"/>
      <w:numFmt w:val="decimal"/>
      <w:lvlText w:val="%4."/>
      <w:lvlJc w:val="left"/>
      <w:pPr>
        <w:ind w:left="4725" w:hanging="360"/>
      </w:pPr>
    </w:lvl>
    <w:lvl w:ilvl="4" w:tplc="08090019" w:tentative="1">
      <w:start w:val="1"/>
      <w:numFmt w:val="lowerLetter"/>
      <w:lvlText w:val="%5."/>
      <w:lvlJc w:val="left"/>
      <w:pPr>
        <w:ind w:left="5445" w:hanging="360"/>
      </w:pPr>
    </w:lvl>
    <w:lvl w:ilvl="5" w:tplc="0809001B" w:tentative="1">
      <w:start w:val="1"/>
      <w:numFmt w:val="lowerRoman"/>
      <w:lvlText w:val="%6."/>
      <w:lvlJc w:val="right"/>
      <w:pPr>
        <w:ind w:left="6165" w:hanging="180"/>
      </w:pPr>
    </w:lvl>
    <w:lvl w:ilvl="6" w:tplc="0809000F" w:tentative="1">
      <w:start w:val="1"/>
      <w:numFmt w:val="decimal"/>
      <w:lvlText w:val="%7."/>
      <w:lvlJc w:val="left"/>
      <w:pPr>
        <w:ind w:left="6885" w:hanging="360"/>
      </w:pPr>
    </w:lvl>
    <w:lvl w:ilvl="7" w:tplc="08090019" w:tentative="1">
      <w:start w:val="1"/>
      <w:numFmt w:val="lowerLetter"/>
      <w:lvlText w:val="%8."/>
      <w:lvlJc w:val="left"/>
      <w:pPr>
        <w:ind w:left="7605" w:hanging="360"/>
      </w:pPr>
    </w:lvl>
    <w:lvl w:ilvl="8" w:tplc="0809001B" w:tentative="1">
      <w:start w:val="1"/>
      <w:numFmt w:val="lowerRoman"/>
      <w:lvlText w:val="%9."/>
      <w:lvlJc w:val="right"/>
      <w:pPr>
        <w:ind w:left="8325"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BF60A68"/>
    <w:multiLevelType w:val="hybridMultilevel"/>
    <w:tmpl w:val="03FAD6D0"/>
    <w:lvl w:ilvl="0" w:tplc="F230DEE2">
      <w:start w:val="1"/>
      <w:numFmt w:val="lowerLetter"/>
      <w:lvlText w:val="(%1)"/>
      <w:lvlJc w:val="left"/>
      <w:pPr>
        <w:ind w:left="2715" w:hanging="360"/>
      </w:pPr>
      <w:rPr>
        <w:rFonts w:hint="default"/>
      </w:r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num w:numId="1" w16cid:durableId="109056683">
    <w:abstractNumId w:val="11"/>
  </w:num>
  <w:num w:numId="2" w16cid:durableId="1468546233">
    <w:abstractNumId w:val="8"/>
  </w:num>
  <w:num w:numId="3" w16cid:durableId="369309332">
    <w:abstractNumId w:val="3"/>
  </w:num>
  <w:num w:numId="4" w16cid:durableId="208733235">
    <w:abstractNumId w:val="2"/>
  </w:num>
  <w:num w:numId="5" w16cid:durableId="479613458">
    <w:abstractNumId w:val="1"/>
  </w:num>
  <w:num w:numId="6" w16cid:durableId="1739673092">
    <w:abstractNumId w:val="0"/>
  </w:num>
  <w:num w:numId="7" w16cid:durableId="1836603985">
    <w:abstractNumId w:val="9"/>
  </w:num>
  <w:num w:numId="8" w16cid:durableId="103120031">
    <w:abstractNumId w:val="7"/>
  </w:num>
  <w:num w:numId="9" w16cid:durableId="2064020132">
    <w:abstractNumId w:val="6"/>
  </w:num>
  <w:num w:numId="10" w16cid:durableId="180054793">
    <w:abstractNumId w:val="5"/>
  </w:num>
  <w:num w:numId="11" w16cid:durableId="952708977">
    <w:abstractNumId w:val="4"/>
  </w:num>
  <w:num w:numId="12" w16cid:durableId="1673339829">
    <w:abstractNumId w:val="18"/>
  </w:num>
  <w:num w:numId="13" w16cid:durableId="160974726">
    <w:abstractNumId w:val="13"/>
  </w:num>
  <w:num w:numId="14" w16cid:durableId="1140264579">
    <w:abstractNumId w:val="19"/>
  </w:num>
  <w:num w:numId="15" w16cid:durableId="122122279">
    <w:abstractNumId w:val="21"/>
  </w:num>
  <w:num w:numId="16" w16cid:durableId="840587332">
    <w:abstractNumId w:val="20"/>
  </w:num>
  <w:num w:numId="17" w16cid:durableId="1729962853">
    <w:abstractNumId w:val="12"/>
  </w:num>
  <w:num w:numId="18" w16cid:durableId="50856764">
    <w:abstractNumId w:val="13"/>
    <w:lvlOverride w:ilvl="0">
      <w:startOverride w:val="1"/>
    </w:lvlOverride>
  </w:num>
  <w:num w:numId="19" w16cid:durableId="62528197">
    <w:abstractNumId w:val="17"/>
  </w:num>
  <w:num w:numId="20" w16cid:durableId="969168530">
    <w:abstractNumId w:val="16"/>
  </w:num>
  <w:num w:numId="21" w16cid:durableId="2145343335">
    <w:abstractNumId w:val="15"/>
  </w:num>
  <w:num w:numId="22" w16cid:durableId="371851566">
    <w:abstractNumId w:val="14"/>
  </w:num>
  <w:num w:numId="23" w16cid:durableId="318659737">
    <w:abstractNumId w:val="22"/>
  </w:num>
  <w:num w:numId="24" w16cid:durableId="16028393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167"/>
    <w:rsid w:val="000052FB"/>
    <w:rsid w:val="00006AEA"/>
    <w:rsid w:val="000117CB"/>
    <w:rsid w:val="000137FD"/>
    <w:rsid w:val="0003148D"/>
    <w:rsid w:val="00031EEC"/>
    <w:rsid w:val="00037F60"/>
    <w:rsid w:val="00040E25"/>
    <w:rsid w:val="00043736"/>
    <w:rsid w:val="00051566"/>
    <w:rsid w:val="000562A9"/>
    <w:rsid w:val="00062A9A"/>
    <w:rsid w:val="00065058"/>
    <w:rsid w:val="00073CD9"/>
    <w:rsid w:val="00086C39"/>
    <w:rsid w:val="000A03B2"/>
    <w:rsid w:val="000A7D01"/>
    <w:rsid w:val="000C7072"/>
    <w:rsid w:val="000D0268"/>
    <w:rsid w:val="000D34BE"/>
    <w:rsid w:val="000D7AA2"/>
    <w:rsid w:val="000D7D60"/>
    <w:rsid w:val="000E102F"/>
    <w:rsid w:val="000E36F1"/>
    <w:rsid w:val="000E3A73"/>
    <w:rsid w:val="000E414A"/>
    <w:rsid w:val="000E45A6"/>
    <w:rsid w:val="000F02B5"/>
    <w:rsid w:val="000F093C"/>
    <w:rsid w:val="000F787B"/>
    <w:rsid w:val="0012091F"/>
    <w:rsid w:val="00126BC2"/>
    <w:rsid w:val="00130643"/>
    <w:rsid w:val="001308B6"/>
    <w:rsid w:val="0013121F"/>
    <w:rsid w:val="00131FE6"/>
    <w:rsid w:val="0013263F"/>
    <w:rsid w:val="001331DF"/>
    <w:rsid w:val="00134DE4"/>
    <w:rsid w:val="00140159"/>
    <w:rsid w:val="0014034D"/>
    <w:rsid w:val="00144D16"/>
    <w:rsid w:val="00150E59"/>
    <w:rsid w:val="00152DE3"/>
    <w:rsid w:val="001560C2"/>
    <w:rsid w:val="00164CF9"/>
    <w:rsid w:val="00165B60"/>
    <w:rsid w:val="001667A6"/>
    <w:rsid w:val="00174A88"/>
    <w:rsid w:val="00184AD6"/>
    <w:rsid w:val="00196D1B"/>
    <w:rsid w:val="001A1D83"/>
    <w:rsid w:val="001A4AF7"/>
    <w:rsid w:val="001B0349"/>
    <w:rsid w:val="001B1E93"/>
    <w:rsid w:val="001B65C1"/>
    <w:rsid w:val="001B780E"/>
    <w:rsid w:val="001C684B"/>
    <w:rsid w:val="001D0CFB"/>
    <w:rsid w:val="001D21AF"/>
    <w:rsid w:val="001D53FC"/>
    <w:rsid w:val="001D5BB2"/>
    <w:rsid w:val="001F0EB4"/>
    <w:rsid w:val="001F42A5"/>
    <w:rsid w:val="001F79D9"/>
    <w:rsid w:val="001F7B9D"/>
    <w:rsid w:val="00201C93"/>
    <w:rsid w:val="00211362"/>
    <w:rsid w:val="00222188"/>
    <w:rsid w:val="002224B4"/>
    <w:rsid w:val="00223475"/>
    <w:rsid w:val="00231CE7"/>
    <w:rsid w:val="002368E8"/>
    <w:rsid w:val="002447EF"/>
    <w:rsid w:val="00251550"/>
    <w:rsid w:val="00263B05"/>
    <w:rsid w:val="0027221A"/>
    <w:rsid w:val="00275B61"/>
    <w:rsid w:val="00280FAF"/>
    <w:rsid w:val="00282656"/>
    <w:rsid w:val="002852F4"/>
    <w:rsid w:val="00293C4F"/>
    <w:rsid w:val="00296B83"/>
    <w:rsid w:val="002B4015"/>
    <w:rsid w:val="002B78CE"/>
    <w:rsid w:val="002C2FB6"/>
    <w:rsid w:val="002C6172"/>
    <w:rsid w:val="002E5FA7"/>
    <w:rsid w:val="002F3309"/>
    <w:rsid w:val="002F361F"/>
    <w:rsid w:val="002F3D2D"/>
    <w:rsid w:val="003008CE"/>
    <w:rsid w:val="003009B7"/>
    <w:rsid w:val="00300E56"/>
    <w:rsid w:val="0030152C"/>
    <w:rsid w:val="0030469C"/>
    <w:rsid w:val="00314DE3"/>
    <w:rsid w:val="00321CA6"/>
    <w:rsid w:val="00323763"/>
    <w:rsid w:val="00323C5F"/>
    <w:rsid w:val="00333567"/>
    <w:rsid w:val="00334C09"/>
    <w:rsid w:val="0037165D"/>
    <w:rsid w:val="003723D4"/>
    <w:rsid w:val="00374B5B"/>
    <w:rsid w:val="00381905"/>
    <w:rsid w:val="00384CC8"/>
    <w:rsid w:val="003871FD"/>
    <w:rsid w:val="00390BB3"/>
    <w:rsid w:val="0039329F"/>
    <w:rsid w:val="003A0381"/>
    <w:rsid w:val="003A1E30"/>
    <w:rsid w:val="003A2829"/>
    <w:rsid w:val="003A6FC6"/>
    <w:rsid w:val="003A7D1C"/>
    <w:rsid w:val="003B304B"/>
    <w:rsid w:val="003B3146"/>
    <w:rsid w:val="003B4206"/>
    <w:rsid w:val="003E7291"/>
    <w:rsid w:val="003F015E"/>
    <w:rsid w:val="00400414"/>
    <w:rsid w:val="0040417A"/>
    <w:rsid w:val="0041080B"/>
    <w:rsid w:val="00410F36"/>
    <w:rsid w:val="0041446B"/>
    <w:rsid w:val="004265DC"/>
    <w:rsid w:val="0043238F"/>
    <w:rsid w:val="0043696E"/>
    <w:rsid w:val="0044071E"/>
    <w:rsid w:val="0044329C"/>
    <w:rsid w:val="004462C1"/>
    <w:rsid w:val="00453E24"/>
    <w:rsid w:val="00457456"/>
    <w:rsid w:val="004577FE"/>
    <w:rsid w:val="00457B9C"/>
    <w:rsid w:val="0046164A"/>
    <w:rsid w:val="004628D2"/>
    <w:rsid w:val="00462DCD"/>
    <w:rsid w:val="004648AD"/>
    <w:rsid w:val="004703A9"/>
    <w:rsid w:val="004760DE"/>
    <w:rsid w:val="004763D7"/>
    <w:rsid w:val="0049375B"/>
    <w:rsid w:val="004A004E"/>
    <w:rsid w:val="004A24CF"/>
    <w:rsid w:val="004B5FBC"/>
    <w:rsid w:val="004C3D1D"/>
    <w:rsid w:val="004C3D84"/>
    <w:rsid w:val="004C7913"/>
    <w:rsid w:val="004E4DD6"/>
    <w:rsid w:val="004F3EC3"/>
    <w:rsid w:val="004F5E36"/>
    <w:rsid w:val="00507B47"/>
    <w:rsid w:val="00507BEF"/>
    <w:rsid w:val="00507CC9"/>
    <w:rsid w:val="005119A5"/>
    <w:rsid w:val="00515A41"/>
    <w:rsid w:val="00516AAC"/>
    <w:rsid w:val="00517934"/>
    <w:rsid w:val="00524E4F"/>
    <w:rsid w:val="005254B2"/>
    <w:rsid w:val="005278B7"/>
    <w:rsid w:val="00532016"/>
    <w:rsid w:val="005346C8"/>
    <w:rsid w:val="00543E7D"/>
    <w:rsid w:val="00547A68"/>
    <w:rsid w:val="005525C1"/>
    <w:rsid w:val="005531C9"/>
    <w:rsid w:val="00553E34"/>
    <w:rsid w:val="00570C43"/>
    <w:rsid w:val="00574D8C"/>
    <w:rsid w:val="00590A26"/>
    <w:rsid w:val="005964A3"/>
    <w:rsid w:val="005B2110"/>
    <w:rsid w:val="005B61E6"/>
    <w:rsid w:val="005B72DD"/>
    <w:rsid w:val="005C77E1"/>
    <w:rsid w:val="005D2BE7"/>
    <w:rsid w:val="005D668A"/>
    <w:rsid w:val="005D6A2F"/>
    <w:rsid w:val="005E1A82"/>
    <w:rsid w:val="005E696C"/>
    <w:rsid w:val="005E794C"/>
    <w:rsid w:val="005E7C48"/>
    <w:rsid w:val="005F0A28"/>
    <w:rsid w:val="005F0E5E"/>
    <w:rsid w:val="005F1BA0"/>
    <w:rsid w:val="00600535"/>
    <w:rsid w:val="00610CD6"/>
    <w:rsid w:val="00620DEE"/>
    <w:rsid w:val="00621F92"/>
    <w:rsid w:val="0062280A"/>
    <w:rsid w:val="00625639"/>
    <w:rsid w:val="00630EF7"/>
    <w:rsid w:val="00631B33"/>
    <w:rsid w:val="00641031"/>
    <w:rsid w:val="0064184D"/>
    <w:rsid w:val="006422CC"/>
    <w:rsid w:val="0064625F"/>
    <w:rsid w:val="006544F1"/>
    <w:rsid w:val="00660E3E"/>
    <w:rsid w:val="00662E74"/>
    <w:rsid w:val="00680C23"/>
    <w:rsid w:val="00692685"/>
    <w:rsid w:val="00693766"/>
    <w:rsid w:val="00697FEF"/>
    <w:rsid w:val="006A3281"/>
    <w:rsid w:val="006B29AB"/>
    <w:rsid w:val="006B4888"/>
    <w:rsid w:val="006C2E45"/>
    <w:rsid w:val="006C359C"/>
    <w:rsid w:val="006C5579"/>
    <w:rsid w:val="006D6E8B"/>
    <w:rsid w:val="006E3957"/>
    <w:rsid w:val="006E737D"/>
    <w:rsid w:val="006F0A31"/>
    <w:rsid w:val="00711DDC"/>
    <w:rsid w:val="00713973"/>
    <w:rsid w:val="00715072"/>
    <w:rsid w:val="00720A24"/>
    <w:rsid w:val="007278B6"/>
    <w:rsid w:val="00732386"/>
    <w:rsid w:val="00734E7E"/>
    <w:rsid w:val="0073514D"/>
    <w:rsid w:val="007447F3"/>
    <w:rsid w:val="007475DD"/>
    <w:rsid w:val="0075499F"/>
    <w:rsid w:val="007661C8"/>
    <w:rsid w:val="00770647"/>
    <w:rsid w:val="0077098D"/>
    <w:rsid w:val="007916D8"/>
    <w:rsid w:val="007931FA"/>
    <w:rsid w:val="007A4861"/>
    <w:rsid w:val="007A6223"/>
    <w:rsid w:val="007A7BBA"/>
    <w:rsid w:val="007B0C50"/>
    <w:rsid w:val="007B48F9"/>
    <w:rsid w:val="007B73DC"/>
    <w:rsid w:val="007C1A43"/>
    <w:rsid w:val="007C444B"/>
    <w:rsid w:val="007D0951"/>
    <w:rsid w:val="007F7DFB"/>
    <w:rsid w:val="0080013E"/>
    <w:rsid w:val="00804959"/>
    <w:rsid w:val="00810A9E"/>
    <w:rsid w:val="00813288"/>
    <w:rsid w:val="008168FC"/>
    <w:rsid w:val="00822C4F"/>
    <w:rsid w:val="00830996"/>
    <w:rsid w:val="00832034"/>
    <w:rsid w:val="00832AE9"/>
    <w:rsid w:val="008345F1"/>
    <w:rsid w:val="008562C3"/>
    <w:rsid w:val="0085685A"/>
    <w:rsid w:val="008652B6"/>
    <w:rsid w:val="00865B07"/>
    <w:rsid w:val="008667EA"/>
    <w:rsid w:val="0087637F"/>
    <w:rsid w:val="0088306E"/>
    <w:rsid w:val="0088610C"/>
    <w:rsid w:val="00892AD5"/>
    <w:rsid w:val="008960F3"/>
    <w:rsid w:val="008A1512"/>
    <w:rsid w:val="008A3021"/>
    <w:rsid w:val="008A3438"/>
    <w:rsid w:val="008B05F7"/>
    <w:rsid w:val="008B370F"/>
    <w:rsid w:val="008B7C03"/>
    <w:rsid w:val="008C081A"/>
    <w:rsid w:val="008C0C25"/>
    <w:rsid w:val="008C35C6"/>
    <w:rsid w:val="008C6942"/>
    <w:rsid w:val="008D32B9"/>
    <w:rsid w:val="008D433B"/>
    <w:rsid w:val="008D4A16"/>
    <w:rsid w:val="008E566E"/>
    <w:rsid w:val="0090161A"/>
    <w:rsid w:val="00901EB6"/>
    <w:rsid w:val="00904C62"/>
    <w:rsid w:val="00907B0A"/>
    <w:rsid w:val="00912106"/>
    <w:rsid w:val="00922BA8"/>
    <w:rsid w:val="009239D9"/>
    <w:rsid w:val="00924DAC"/>
    <w:rsid w:val="00927058"/>
    <w:rsid w:val="00937E38"/>
    <w:rsid w:val="00942750"/>
    <w:rsid w:val="009450CE"/>
    <w:rsid w:val="009459BB"/>
    <w:rsid w:val="00947179"/>
    <w:rsid w:val="0095164B"/>
    <w:rsid w:val="00954090"/>
    <w:rsid w:val="009573E7"/>
    <w:rsid w:val="00963E05"/>
    <w:rsid w:val="00964A45"/>
    <w:rsid w:val="00967843"/>
    <w:rsid w:val="00967D54"/>
    <w:rsid w:val="00971028"/>
    <w:rsid w:val="0097617D"/>
    <w:rsid w:val="00993B84"/>
    <w:rsid w:val="00996483"/>
    <w:rsid w:val="00996F5A"/>
    <w:rsid w:val="00997D02"/>
    <w:rsid w:val="009B041A"/>
    <w:rsid w:val="009C37C3"/>
    <w:rsid w:val="009C7C86"/>
    <w:rsid w:val="009D2FF7"/>
    <w:rsid w:val="009E7884"/>
    <w:rsid w:val="009E788A"/>
    <w:rsid w:val="009F0E08"/>
    <w:rsid w:val="009F47C8"/>
    <w:rsid w:val="00A032D3"/>
    <w:rsid w:val="00A1238D"/>
    <w:rsid w:val="00A1763D"/>
    <w:rsid w:val="00A17CEC"/>
    <w:rsid w:val="00A27EF0"/>
    <w:rsid w:val="00A30682"/>
    <w:rsid w:val="00A41FC0"/>
    <w:rsid w:val="00A42361"/>
    <w:rsid w:val="00A50B20"/>
    <w:rsid w:val="00A51390"/>
    <w:rsid w:val="00A60D13"/>
    <w:rsid w:val="00A61A1A"/>
    <w:rsid w:val="00A703A9"/>
    <w:rsid w:val="00A7223D"/>
    <w:rsid w:val="00A72745"/>
    <w:rsid w:val="00A76EFC"/>
    <w:rsid w:val="00A87D50"/>
    <w:rsid w:val="00A91010"/>
    <w:rsid w:val="00A91DB2"/>
    <w:rsid w:val="00A95800"/>
    <w:rsid w:val="00A97F29"/>
    <w:rsid w:val="00AA702E"/>
    <w:rsid w:val="00AA7D26"/>
    <w:rsid w:val="00AB0964"/>
    <w:rsid w:val="00AB5011"/>
    <w:rsid w:val="00AC22C3"/>
    <w:rsid w:val="00AC7368"/>
    <w:rsid w:val="00AD16B9"/>
    <w:rsid w:val="00AD4C56"/>
    <w:rsid w:val="00AE377D"/>
    <w:rsid w:val="00AE74A8"/>
    <w:rsid w:val="00AF0EBA"/>
    <w:rsid w:val="00B02C8A"/>
    <w:rsid w:val="00B0714A"/>
    <w:rsid w:val="00B14BA4"/>
    <w:rsid w:val="00B17FBD"/>
    <w:rsid w:val="00B27276"/>
    <w:rsid w:val="00B315A6"/>
    <w:rsid w:val="00B31813"/>
    <w:rsid w:val="00B33365"/>
    <w:rsid w:val="00B50A56"/>
    <w:rsid w:val="00B57B36"/>
    <w:rsid w:val="00B57E6F"/>
    <w:rsid w:val="00B71549"/>
    <w:rsid w:val="00B76AE7"/>
    <w:rsid w:val="00B770F1"/>
    <w:rsid w:val="00B801E5"/>
    <w:rsid w:val="00B81362"/>
    <w:rsid w:val="00B82848"/>
    <w:rsid w:val="00B86640"/>
    <w:rsid w:val="00B8686D"/>
    <w:rsid w:val="00B93F69"/>
    <w:rsid w:val="00BA7EB0"/>
    <w:rsid w:val="00BB1DDC"/>
    <w:rsid w:val="00BC30C9"/>
    <w:rsid w:val="00BD077D"/>
    <w:rsid w:val="00BD4EE8"/>
    <w:rsid w:val="00BE3E58"/>
    <w:rsid w:val="00BF1BFA"/>
    <w:rsid w:val="00BF68BC"/>
    <w:rsid w:val="00C01616"/>
    <w:rsid w:val="00C0162B"/>
    <w:rsid w:val="00C068ED"/>
    <w:rsid w:val="00C22E0C"/>
    <w:rsid w:val="00C2528C"/>
    <w:rsid w:val="00C345B1"/>
    <w:rsid w:val="00C40142"/>
    <w:rsid w:val="00C52C3C"/>
    <w:rsid w:val="00C57182"/>
    <w:rsid w:val="00C57863"/>
    <w:rsid w:val="00C640AF"/>
    <w:rsid w:val="00C655FD"/>
    <w:rsid w:val="00C675FF"/>
    <w:rsid w:val="00C70DB1"/>
    <w:rsid w:val="00C75407"/>
    <w:rsid w:val="00C870A8"/>
    <w:rsid w:val="00C94434"/>
    <w:rsid w:val="00C94E36"/>
    <w:rsid w:val="00CA0D4A"/>
    <w:rsid w:val="00CA0D75"/>
    <w:rsid w:val="00CA1C95"/>
    <w:rsid w:val="00CA5A9C"/>
    <w:rsid w:val="00CC4C20"/>
    <w:rsid w:val="00CD3517"/>
    <w:rsid w:val="00CD5FE2"/>
    <w:rsid w:val="00CD63EC"/>
    <w:rsid w:val="00CE15B2"/>
    <w:rsid w:val="00CE7C68"/>
    <w:rsid w:val="00D02B4C"/>
    <w:rsid w:val="00D040C4"/>
    <w:rsid w:val="00D20AD1"/>
    <w:rsid w:val="00D35BC9"/>
    <w:rsid w:val="00D441FF"/>
    <w:rsid w:val="00D46B7E"/>
    <w:rsid w:val="00D57C84"/>
    <w:rsid w:val="00D6057D"/>
    <w:rsid w:val="00D61C81"/>
    <w:rsid w:val="00D648EC"/>
    <w:rsid w:val="00D71640"/>
    <w:rsid w:val="00D836C5"/>
    <w:rsid w:val="00D84576"/>
    <w:rsid w:val="00DA1399"/>
    <w:rsid w:val="00DA24C6"/>
    <w:rsid w:val="00DA4D7B"/>
    <w:rsid w:val="00DD271C"/>
    <w:rsid w:val="00DE264A"/>
    <w:rsid w:val="00DF5072"/>
    <w:rsid w:val="00E02941"/>
    <w:rsid w:val="00E02D18"/>
    <w:rsid w:val="00E03D3F"/>
    <w:rsid w:val="00E041E7"/>
    <w:rsid w:val="00E23CA1"/>
    <w:rsid w:val="00E33DD7"/>
    <w:rsid w:val="00E409A8"/>
    <w:rsid w:val="00E477CC"/>
    <w:rsid w:val="00E50C12"/>
    <w:rsid w:val="00E54EE3"/>
    <w:rsid w:val="00E65B91"/>
    <w:rsid w:val="00E7209D"/>
    <w:rsid w:val="00E72EAD"/>
    <w:rsid w:val="00E758C2"/>
    <w:rsid w:val="00E77223"/>
    <w:rsid w:val="00E8528B"/>
    <w:rsid w:val="00E85B94"/>
    <w:rsid w:val="00E9292A"/>
    <w:rsid w:val="00E978D0"/>
    <w:rsid w:val="00EA4613"/>
    <w:rsid w:val="00EA5484"/>
    <w:rsid w:val="00EA7F91"/>
    <w:rsid w:val="00EB1523"/>
    <w:rsid w:val="00EC0E49"/>
    <w:rsid w:val="00EC101F"/>
    <w:rsid w:val="00EC1D9F"/>
    <w:rsid w:val="00EC5D3F"/>
    <w:rsid w:val="00EE0131"/>
    <w:rsid w:val="00EE17B0"/>
    <w:rsid w:val="00EF06D9"/>
    <w:rsid w:val="00F3049E"/>
    <w:rsid w:val="00F30C64"/>
    <w:rsid w:val="00F32BA2"/>
    <w:rsid w:val="00F32CDB"/>
    <w:rsid w:val="00F565FE"/>
    <w:rsid w:val="00F63322"/>
    <w:rsid w:val="00F63A70"/>
    <w:rsid w:val="00F63D8C"/>
    <w:rsid w:val="00F7534E"/>
    <w:rsid w:val="00F93EDF"/>
    <w:rsid w:val="00FA0CFA"/>
    <w:rsid w:val="00FA1802"/>
    <w:rsid w:val="00FA21D0"/>
    <w:rsid w:val="00FA5F5F"/>
    <w:rsid w:val="00FB04E0"/>
    <w:rsid w:val="00FB49E0"/>
    <w:rsid w:val="00FB730C"/>
    <w:rsid w:val="00FC2695"/>
    <w:rsid w:val="00FC3E03"/>
    <w:rsid w:val="00FC3FC1"/>
    <w:rsid w:val="00FD2094"/>
    <w:rsid w:val="00FE1414"/>
    <w:rsid w:val="00FE43CD"/>
    <w:rsid w:val="00FF259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styleId="Revision">
    <w:name w:val="Revision"/>
    <w:hidden/>
    <w:uiPriority w:val="99"/>
    <w:semiHidden/>
    <w:rsid w:val="00590A2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64047151277013"/>
          <c:y val="7.8167115902964962E-2"/>
          <c:w val="0.74075169175281663"/>
          <c:h val="0.73315363881401618"/>
        </c:manualLayout>
      </c:layout>
      <c:scatterChart>
        <c:scatterStyle val="smoothMarker"/>
        <c:varyColors val="0"/>
        <c:ser>
          <c:idx val="0"/>
          <c:order val="0"/>
          <c:tx>
            <c:v>Run 1 without back-purge</c:v>
          </c:tx>
          <c:spPr>
            <a:ln w="28575" cap="rnd" cmpd="sng" algn="ctr">
              <a:solidFill>
                <a:schemeClr val="accent1">
                  <a:shade val="95000"/>
                  <a:satMod val="105000"/>
                </a:schemeClr>
              </a:solidFill>
              <a:prstDash val="solid"/>
              <a:round/>
            </a:ln>
            <a:effectLst/>
          </c:spPr>
          <c:marker>
            <c:symbol val="diamond"/>
            <c:size val="5"/>
            <c:spPr>
              <a:solidFill>
                <a:schemeClr val="accent1"/>
              </a:solidFill>
              <a:ln w="9525" cap="flat" cmpd="sng" algn="ctr">
                <a:solidFill>
                  <a:schemeClr val="accent1">
                    <a:shade val="95000"/>
                    <a:satMod val="105000"/>
                  </a:schemeClr>
                </a:solidFill>
                <a:prstDash val="solid"/>
                <a:round/>
              </a:ln>
              <a:effectLst/>
            </c:spPr>
          </c:marker>
          <c:xVal>
            <c:numRef>
              <c:f>Sheet1!$A$5:$A$16</c:f>
              <c:numCache>
                <c:formatCode>General</c:formatCode>
                <c:ptCount val="12"/>
                <c:pt idx="0">
                  <c:v>120</c:v>
                </c:pt>
                <c:pt idx="1">
                  <c:v>180</c:v>
                </c:pt>
                <c:pt idx="2">
                  <c:v>240</c:v>
                </c:pt>
                <c:pt idx="3">
                  <c:v>300</c:v>
                </c:pt>
                <c:pt idx="4">
                  <c:v>360</c:v>
                </c:pt>
                <c:pt idx="5">
                  <c:v>420</c:v>
                </c:pt>
                <c:pt idx="6">
                  <c:v>480</c:v>
                </c:pt>
                <c:pt idx="7">
                  <c:v>540</c:v>
                </c:pt>
                <c:pt idx="8">
                  <c:v>600</c:v>
                </c:pt>
                <c:pt idx="9">
                  <c:v>660</c:v>
                </c:pt>
                <c:pt idx="10">
                  <c:v>720</c:v>
                </c:pt>
                <c:pt idx="11">
                  <c:v>780</c:v>
                </c:pt>
              </c:numCache>
            </c:numRef>
          </c:xVal>
          <c:yVal>
            <c:numRef>
              <c:f>Sheet1!$D$5:$D$16</c:f>
              <c:numCache>
                <c:formatCode>General</c:formatCode>
                <c:ptCount val="12"/>
                <c:pt idx="0">
                  <c:v>37.6</c:v>
                </c:pt>
                <c:pt idx="1">
                  <c:v>47.4</c:v>
                </c:pt>
                <c:pt idx="2">
                  <c:v>52</c:v>
                </c:pt>
                <c:pt idx="3">
                  <c:v>55</c:v>
                </c:pt>
                <c:pt idx="4">
                  <c:v>57.1</c:v>
                </c:pt>
                <c:pt idx="5">
                  <c:v>59.3</c:v>
                </c:pt>
                <c:pt idx="6">
                  <c:v>60.9</c:v>
                </c:pt>
                <c:pt idx="7">
                  <c:v>62.9</c:v>
                </c:pt>
                <c:pt idx="8">
                  <c:v>63.3</c:v>
                </c:pt>
                <c:pt idx="9">
                  <c:v>64.3</c:v>
                </c:pt>
                <c:pt idx="10">
                  <c:v>36.1</c:v>
                </c:pt>
                <c:pt idx="11">
                  <c:v>23.3</c:v>
                </c:pt>
              </c:numCache>
            </c:numRef>
          </c:yVal>
          <c:smooth val="1"/>
          <c:extLst>
            <c:ext xmlns:c16="http://schemas.microsoft.com/office/drawing/2014/chart" uri="{C3380CC4-5D6E-409C-BE32-E72D297353CC}">
              <c16:uniqueId val="{00000000-FEEC-4569-A0EA-217513A40EC7}"/>
            </c:ext>
          </c:extLst>
        </c:ser>
        <c:ser>
          <c:idx val="1"/>
          <c:order val="1"/>
          <c:tx>
            <c:v> Run 2 with 1200 s back-purge </c:v>
          </c:tx>
          <c:spPr>
            <a:ln w="28575" cap="rnd" cmpd="sng" algn="ctr">
              <a:solidFill>
                <a:schemeClr val="accent2">
                  <a:shade val="95000"/>
                  <a:satMod val="105000"/>
                </a:schemeClr>
              </a:solidFill>
              <a:prstDash val="solid"/>
              <a:round/>
            </a:ln>
            <a:effectLst/>
          </c:spPr>
          <c:marker>
            <c:symbol val="square"/>
            <c:size val="5"/>
            <c:spPr>
              <a:solidFill>
                <a:schemeClr val="accent2"/>
              </a:solidFill>
              <a:ln w="9525" cap="flat" cmpd="sng" algn="ctr">
                <a:solidFill>
                  <a:schemeClr val="accent2">
                    <a:shade val="95000"/>
                    <a:satMod val="105000"/>
                  </a:schemeClr>
                </a:solidFill>
                <a:prstDash val="solid"/>
                <a:round/>
              </a:ln>
              <a:effectLst/>
            </c:spPr>
          </c:marker>
          <c:xVal>
            <c:numRef>
              <c:f>Sheet1!$A$5:$A$13</c:f>
              <c:numCache>
                <c:formatCode>General</c:formatCode>
                <c:ptCount val="9"/>
                <c:pt idx="0">
                  <c:v>120</c:v>
                </c:pt>
                <c:pt idx="1">
                  <c:v>180</c:v>
                </c:pt>
                <c:pt idx="2">
                  <c:v>240</c:v>
                </c:pt>
                <c:pt idx="3">
                  <c:v>300</c:v>
                </c:pt>
                <c:pt idx="4">
                  <c:v>360</c:v>
                </c:pt>
                <c:pt idx="5">
                  <c:v>420</c:v>
                </c:pt>
                <c:pt idx="6">
                  <c:v>480</c:v>
                </c:pt>
                <c:pt idx="7">
                  <c:v>540</c:v>
                </c:pt>
                <c:pt idx="8">
                  <c:v>600</c:v>
                </c:pt>
              </c:numCache>
            </c:numRef>
          </c:xVal>
          <c:yVal>
            <c:numRef>
              <c:f>Sheet1!$C$5:$C$13</c:f>
              <c:numCache>
                <c:formatCode>General</c:formatCode>
                <c:ptCount val="9"/>
                <c:pt idx="0">
                  <c:v>89.3</c:v>
                </c:pt>
                <c:pt idx="1">
                  <c:v>89.4</c:v>
                </c:pt>
                <c:pt idx="2">
                  <c:v>89.5</c:v>
                </c:pt>
                <c:pt idx="3">
                  <c:v>89.5</c:v>
                </c:pt>
                <c:pt idx="4">
                  <c:v>89.5</c:v>
                </c:pt>
                <c:pt idx="5">
                  <c:v>89.4</c:v>
                </c:pt>
                <c:pt idx="6">
                  <c:v>89.3</c:v>
                </c:pt>
                <c:pt idx="7">
                  <c:v>60</c:v>
                </c:pt>
                <c:pt idx="8">
                  <c:v>24.4</c:v>
                </c:pt>
              </c:numCache>
            </c:numRef>
          </c:yVal>
          <c:smooth val="1"/>
          <c:extLst>
            <c:ext xmlns:c16="http://schemas.microsoft.com/office/drawing/2014/chart" uri="{C3380CC4-5D6E-409C-BE32-E72D297353CC}">
              <c16:uniqueId val="{00000001-FEEC-4569-A0EA-217513A40EC7}"/>
            </c:ext>
          </c:extLst>
        </c:ser>
        <c:dLbls>
          <c:showLegendKey val="0"/>
          <c:showVal val="0"/>
          <c:showCatName val="0"/>
          <c:showSerName val="0"/>
          <c:showPercent val="0"/>
          <c:showBubbleSize val="0"/>
        </c:dLbls>
        <c:axId val="1194012176"/>
        <c:axId val="1"/>
      </c:scatterChart>
      <c:valAx>
        <c:axId val="1194012176"/>
        <c:scaling>
          <c:orientation val="minMax"/>
          <c:max val="2100"/>
          <c:min val="0"/>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(a)                  Time (s)</a:t>
                </a:r>
              </a:p>
            </c:rich>
          </c:tx>
          <c:layout>
            <c:manualLayout>
              <c:xMode val="edge"/>
              <c:yMode val="edge"/>
              <c:x val="0.31217669219918937"/>
              <c:y val="0.91358594260224502"/>
            </c:manualLayout>
          </c:layout>
          <c:overlay val="0"/>
          <c:spPr>
            <a:noFill/>
            <a:ln w="25400">
              <a:noFill/>
            </a:ln>
            <a:effectLst/>
          </c:spPr>
          <c:txPr>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1"/>
        <c:crosses val="autoZero"/>
        <c:crossBetween val="midCat"/>
      </c:valAx>
      <c:valAx>
        <c:axId val="1"/>
        <c:scaling>
          <c:orientation val="minMax"/>
          <c:max val="100"/>
          <c:min val="20"/>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H</a:t>
                </a:r>
                <a:r>
                  <a:rPr lang="en-GB" sz="900" baseline="-25000"/>
                  <a:t>2</a:t>
                </a:r>
                <a:r>
                  <a:rPr lang="en-GB" sz="900"/>
                  <a:t> (vol%)</a:t>
                </a:r>
              </a:p>
            </c:rich>
          </c:tx>
          <c:layout>
            <c:manualLayout>
              <c:xMode val="edge"/>
              <c:yMode val="edge"/>
              <c:x val="9.823182711198428E-3"/>
              <c:y val="0.32075471698113206"/>
            </c:manualLayout>
          </c:layout>
          <c:overlay val="0"/>
          <c:spPr>
            <a:noFill/>
            <a:ln w="25400">
              <a:noFill/>
            </a:ln>
            <a:effectLst/>
          </c:spPr>
          <c:txPr>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1194012176"/>
        <c:crosses val="autoZero"/>
        <c:crossBetween val="midCat"/>
      </c:valAx>
      <c:spPr>
        <a:noFill/>
        <a:ln w="12700">
          <a:solidFill>
            <a:srgbClr val="000000"/>
          </a:solidFill>
          <a:prstDash val="solid"/>
        </a:ln>
        <a:effectLst/>
      </c:spPr>
    </c:plotArea>
    <c:legend>
      <c:legendPos val="r"/>
      <c:layout>
        <c:manualLayout>
          <c:xMode val="edge"/>
          <c:yMode val="edge"/>
          <c:x val="0.43491992072419516"/>
          <c:y val="0.10089731741278818"/>
          <c:w val="0.46139553984323378"/>
          <c:h val="0.33337473660862815"/>
        </c:manualLayout>
      </c:layout>
      <c:overlay val="0"/>
      <c:spPr>
        <a:solidFill>
          <a:srgbClr val="FFFFFF"/>
        </a:solidFill>
        <a:ln w="3175">
          <a:solidFill>
            <a:srgbClr val="000000"/>
          </a:solidFill>
          <a:prstDash val="solid"/>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cap="flat" cmpd="sng" algn="ctr">
      <a:noFill/>
      <a:prstDash val="solid"/>
      <a:round/>
    </a:ln>
    <a:effectLst/>
  </c:spPr>
  <c:txPr>
    <a:bodyPr/>
    <a:lstStyle/>
    <a:p>
      <a:pPr>
        <a:defRPr sz="1050" b="0" i="0" u="none" strike="noStrike" baseline="0">
          <a:solidFill>
            <a:srgbClr val="000000"/>
          </a:solidFill>
          <a:latin typeface="Arial"/>
          <a:ea typeface="Arial"/>
          <a:cs typeface="Aria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65279340082489"/>
          <c:y val="9.8310291858678955E-2"/>
          <c:w val="0.76110911136107984"/>
          <c:h val="0.71438199257350898"/>
        </c:manualLayout>
      </c:layout>
      <c:scatterChart>
        <c:scatterStyle val="smoothMarker"/>
        <c:varyColors val="0"/>
        <c:ser>
          <c:idx val="0"/>
          <c:order val="0"/>
          <c:tx>
            <c:v> Run 4 with 1200 s back-purge</c:v>
          </c:tx>
          <c:spPr>
            <a:ln w="28575" cap="rnd" cmpd="sng" algn="ctr">
              <a:solidFill>
                <a:schemeClr val="accent1">
                  <a:shade val="95000"/>
                  <a:satMod val="105000"/>
                </a:schemeClr>
              </a:solidFill>
              <a:prstDash val="solid"/>
              <a:round/>
            </a:ln>
            <a:effectLst/>
          </c:spPr>
          <c:marker>
            <c:symbol val="diamond"/>
            <c:size val="5"/>
            <c:spPr>
              <a:solidFill>
                <a:schemeClr val="accent1"/>
              </a:solidFill>
              <a:ln w="9525" cap="flat" cmpd="sng" algn="ctr">
                <a:solidFill>
                  <a:schemeClr val="accent1">
                    <a:shade val="95000"/>
                    <a:satMod val="105000"/>
                  </a:schemeClr>
                </a:solidFill>
                <a:prstDash val="solid"/>
                <a:round/>
              </a:ln>
              <a:effectLst/>
            </c:spPr>
          </c:marker>
          <c:xVal>
            <c:numRef>
              <c:f>Sheet1!$A$5:$A$15</c:f>
              <c:numCache>
                <c:formatCode>General</c:formatCode>
                <c:ptCount val="11"/>
                <c:pt idx="0">
                  <c:v>120</c:v>
                </c:pt>
                <c:pt idx="1">
                  <c:v>180</c:v>
                </c:pt>
                <c:pt idx="2">
                  <c:v>240</c:v>
                </c:pt>
                <c:pt idx="3">
                  <c:v>300</c:v>
                </c:pt>
                <c:pt idx="4">
                  <c:v>360</c:v>
                </c:pt>
                <c:pt idx="5">
                  <c:v>420</c:v>
                </c:pt>
                <c:pt idx="6">
                  <c:v>480</c:v>
                </c:pt>
                <c:pt idx="7">
                  <c:v>540</c:v>
                </c:pt>
                <c:pt idx="8">
                  <c:v>600</c:v>
                </c:pt>
                <c:pt idx="9">
                  <c:v>660</c:v>
                </c:pt>
                <c:pt idx="10">
                  <c:v>720</c:v>
                </c:pt>
              </c:numCache>
            </c:numRef>
          </c:xVal>
          <c:yVal>
            <c:numRef>
              <c:f>Sheet1!$D$5:$D$15</c:f>
              <c:numCache>
                <c:formatCode>General</c:formatCode>
                <c:ptCount val="11"/>
                <c:pt idx="0">
                  <c:v>87.7</c:v>
                </c:pt>
                <c:pt idx="1">
                  <c:v>89.2</c:v>
                </c:pt>
                <c:pt idx="2">
                  <c:v>89.5</c:v>
                </c:pt>
                <c:pt idx="3">
                  <c:v>89.7</c:v>
                </c:pt>
                <c:pt idx="4">
                  <c:v>89.7</c:v>
                </c:pt>
                <c:pt idx="5">
                  <c:v>89.7</c:v>
                </c:pt>
                <c:pt idx="6">
                  <c:v>89.6</c:v>
                </c:pt>
                <c:pt idx="7">
                  <c:v>89.5</c:v>
                </c:pt>
                <c:pt idx="8">
                  <c:v>89.5</c:v>
                </c:pt>
                <c:pt idx="9">
                  <c:v>35</c:v>
                </c:pt>
                <c:pt idx="10">
                  <c:v>23.9</c:v>
                </c:pt>
              </c:numCache>
            </c:numRef>
          </c:yVal>
          <c:smooth val="1"/>
          <c:extLst>
            <c:ext xmlns:c16="http://schemas.microsoft.com/office/drawing/2014/chart" uri="{C3380CC4-5D6E-409C-BE32-E72D297353CC}">
              <c16:uniqueId val="{00000000-605C-40E8-AA55-F3B52CEB0044}"/>
            </c:ext>
          </c:extLst>
        </c:ser>
        <c:ser>
          <c:idx val="1"/>
          <c:order val="1"/>
          <c:tx>
            <c:v>Run 3 with 600 s back-purge</c:v>
          </c:tx>
          <c:spPr>
            <a:ln w="28575" cap="rnd" cmpd="sng" algn="ctr">
              <a:solidFill>
                <a:schemeClr val="accent2">
                  <a:shade val="95000"/>
                  <a:satMod val="105000"/>
                </a:schemeClr>
              </a:solidFill>
              <a:prstDash val="solid"/>
              <a:round/>
            </a:ln>
            <a:effectLst/>
          </c:spPr>
          <c:marker>
            <c:symbol val="square"/>
            <c:size val="5"/>
            <c:spPr>
              <a:solidFill>
                <a:schemeClr val="accent2"/>
              </a:solidFill>
              <a:ln w="9525" cap="flat" cmpd="sng" algn="ctr">
                <a:solidFill>
                  <a:schemeClr val="accent2">
                    <a:shade val="95000"/>
                    <a:satMod val="105000"/>
                  </a:schemeClr>
                </a:solidFill>
                <a:prstDash val="solid"/>
                <a:round/>
              </a:ln>
              <a:effectLst/>
            </c:spPr>
          </c:marker>
          <c:xVal>
            <c:numRef>
              <c:f>Sheet1!$A$5:$A$15</c:f>
              <c:numCache>
                <c:formatCode>General</c:formatCode>
                <c:ptCount val="11"/>
                <c:pt idx="0">
                  <c:v>120</c:v>
                </c:pt>
                <c:pt idx="1">
                  <c:v>180</c:v>
                </c:pt>
                <c:pt idx="2">
                  <c:v>240</c:v>
                </c:pt>
                <c:pt idx="3">
                  <c:v>300</c:v>
                </c:pt>
                <c:pt idx="4">
                  <c:v>360</c:v>
                </c:pt>
                <c:pt idx="5">
                  <c:v>420</c:v>
                </c:pt>
                <c:pt idx="6">
                  <c:v>480</c:v>
                </c:pt>
                <c:pt idx="7">
                  <c:v>540</c:v>
                </c:pt>
                <c:pt idx="8">
                  <c:v>600</c:v>
                </c:pt>
                <c:pt idx="9">
                  <c:v>660</c:v>
                </c:pt>
                <c:pt idx="10">
                  <c:v>720</c:v>
                </c:pt>
              </c:numCache>
            </c:numRef>
          </c:xVal>
          <c:yVal>
            <c:numRef>
              <c:f>Sheet1!$C$5:$C$14</c:f>
              <c:numCache>
                <c:formatCode>General</c:formatCode>
                <c:ptCount val="10"/>
                <c:pt idx="0">
                  <c:v>88.7</c:v>
                </c:pt>
                <c:pt idx="1">
                  <c:v>89.1</c:v>
                </c:pt>
                <c:pt idx="2">
                  <c:v>89.2</c:v>
                </c:pt>
                <c:pt idx="3">
                  <c:v>89.2</c:v>
                </c:pt>
                <c:pt idx="4">
                  <c:v>89</c:v>
                </c:pt>
                <c:pt idx="5">
                  <c:v>88.8</c:v>
                </c:pt>
                <c:pt idx="6">
                  <c:v>87.6</c:v>
                </c:pt>
                <c:pt idx="7">
                  <c:v>53.7</c:v>
                </c:pt>
                <c:pt idx="8">
                  <c:v>25.5</c:v>
                </c:pt>
                <c:pt idx="9">
                  <c:v>23.2</c:v>
                </c:pt>
              </c:numCache>
            </c:numRef>
          </c:yVal>
          <c:smooth val="1"/>
          <c:extLst>
            <c:ext xmlns:c16="http://schemas.microsoft.com/office/drawing/2014/chart" uri="{C3380CC4-5D6E-409C-BE32-E72D297353CC}">
              <c16:uniqueId val="{00000001-605C-40E8-AA55-F3B52CEB0044}"/>
            </c:ext>
          </c:extLst>
        </c:ser>
        <c:dLbls>
          <c:showLegendKey val="0"/>
          <c:showVal val="0"/>
          <c:showCatName val="0"/>
          <c:showSerName val="0"/>
          <c:showPercent val="0"/>
          <c:showBubbleSize val="0"/>
        </c:dLbls>
        <c:axId val="1658506799"/>
        <c:axId val="1"/>
      </c:scatterChart>
      <c:valAx>
        <c:axId val="1658506799"/>
        <c:scaling>
          <c:orientation val="minMax"/>
          <c:max val="2100"/>
          <c:min val="0"/>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b="1"/>
                  <a:t>(b)                   Time (s)</a:t>
                </a:r>
              </a:p>
            </c:rich>
          </c:tx>
          <c:layout>
            <c:manualLayout>
              <c:xMode val="edge"/>
              <c:yMode val="edge"/>
              <c:x val="0.28143532058492687"/>
              <c:y val="0.90837983961682223"/>
            </c:manualLayout>
          </c:layout>
          <c:overlay val="0"/>
          <c:spPr>
            <a:noFill/>
            <a:ln w="25400">
              <a:noFill/>
            </a:ln>
            <a:effectLst/>
          </c:spPr>
          <c:txPr>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1"/>
        <c:crosses val="autoZero"/>
        <c:crossBetween val="midCat"/>
      </c:valAx>
      <c:valAx>
        <c:axId val="1"/>
        <c:scaling>
          <c:orientation val="minMax"/>
          <c:max val="100"/>
          <c:min val="20"/>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b="1"/>
                  <a:t>H</a:t>
                </a:r>
                <a:r>
                  <a:rPr lang="en-GB" b="1" baseline="-25000"/>
                  <a:t>2</a:t>
                </a:r>
                <a:r>
                  <a:rPr lang="en-GB" b="1"/>
                  <a:t> (vol%)</a:t>
                </a:r>
              </a:p>
            </c:rich>
          </c:tx>
          <c:layout>
            <c:manualLayout>
              <c:xMode val="edge"/>
              <c:yMode val="edge"/>
              <c:x val="1.1928429423459244E-2"/>
              <c:y val="0.30107605919244368"/>
            </c:manualLayout>
          </c:layout>
          <c:overlay val="0"/>
          <c:spPr>
            <a:noFill/>
            <a:ln w="25400">
              <a:noFill/>
            </a:ln>
            <a:effectLst/>
          </c:spPr>
          <c:txPr>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1658506799"/>
        <c:crosses val="autoZero"/>
        <c:crossBetween val="midCat"/>
      </c:valAx>
      <c:spPr>
        <a:noFill/>
        <a:ln w="12700">
          <a:solidFill>
            <a:srgbClr val="000000"/>
          </a:solidFill>
          <a:prstDash val="solid"/>
        </a:ln>
        <a:effectLst/>
      </c:spPr>
    </c:plotArea>
    <c:legend>
      <c:legendPos val="r"/>
      <c:layout>
        <c:manualLayout>
          <c:xMode val="edge"/>
          <c:yMode val="edge"/>
          <c:x val="0.40251143607049117"/>
          <c:y val="0.14771701924356229"/>
          <c:w val="0.51034495688038994"/>
          <c:h val="0.34368665455279629"/>
        </c:manualLayout>
      </c:layout>
      <c:overlay val="0"/>
      <c:spPr>
        <a:solidFill>
          <a:srgbClr val="FFFFFF"/>
        </a:solidFill>
        <a:ln w="3175">
          <a:solidFill>
            <a:srgbClr val="000000"/>
          </a:solidFill>
          <a:prstDash val="solid"/>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cap="flat" cmpd="sng" algn="ctr">
      <a:noFill/>
      <a:prstDash val="solid"/>
      <a:round/>
    </a:ln>
    <a:effectLst/>
  </c:spPr>
  <c:txPr>
    <a:bodyPr/>
    <a:lstStyle/>
    <a:p>
      <a:pPr>
        <a:defRPr sz="900" b="0" i="0" u="none" strike="noStrike" baseline="0">
          <a:solidFill>
            <a:srgbClr val="000000"/>
          </a:solidFill>
          <a:latin typeface="Arial"/>
          <a:ea typeface="Arial"/>
          <a:cs typeface="Aria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25914433977406"/>
          <c:y val="0.11097317913385826"/>
          <c:w val="0.70075792576401119"/>
          <c:h val="0.64793102034120731"/>
        </c:manualLayout>
      </c:layout>
      <c:scatterChart>
        <c:scatterStyle val="smoothMarker"/>
        <c:varyColors val="0"/>
        <c:ser>
          <c:idx val="0"/>
          <c:order val="0"/>
          <c:tx>
            <c:v>Run 6 with 600 s back-purge</c:v>
          </c:tx>
          <c:spPr>
            <a:ln w="28575" cap="rnd" cmpd="sng" algn="ctr">
              <a:solidFill>
                <a:schemeClr val="accent1">
                  <a:shade val="95000"/>
                  <a:satMod val="105000"/>
                </a:schemeClr>
              </a:solidFill>
              <a:prstDash val="solid"/>
              <a:round/>
            </a:ln>
            <a:effectLst/>
          </c:spPr>
          <c:marker>
            <c:symbol val="diamond"/>
            <c:size val="5"/>
            <c:spPr>
              <a:solidFill>
                <a:schemeClr val="accent1"/>
              </a:solidFill>
              <a:ln w="9525" cap="flat" cmpd="sng" algn="ctr">
                <a:solidFill>
                  <a:schemeClr val="accent1">
                    <a:shade val="95000"/>
                    <a:satMod val="105000"/>
                  </a:schemeClr>
                </a:solidFill>
                <a:prstDash val="solid"/>
                <a:round/>
              </a:ln>
              <a:effectLst/>
            </c:spPr>
          </c:marker>
          <c:xVal>
            <c:numRef>
              <c:f>Sheet1!$A$6:$A$20</c:f>
              <c:numCache>
                <c:formatCode>General</c:formatCode>
                <c:ptCount val="15"/>
                <c:pt idx="0">
                  <c:v>120</c:v>
                </c:pt>
                <c:pt idx="1">
                  <c:v>180</c:v>
                </c:pt>
                <c:pt idx="2">
                  <c:v>240</c:v>
                </c:pt>
                <c:pt idx="3">
                  <c:v>300</c:v>
                </c:pt>
                <c:pt idx="4">
                  <c:v>360</c:v>
                </c:pt>
                <c:pt idx="5">
                  <c:v>420</c:v>
                </c:pt>
                <c:pt idx="6">
                  <c:v>480</c:v>
                </c:pt>
                <c:pt idx="7">
                  <c:v>540</c:v>
                </c:pt>
                <c:pt idx="8">
                  <c:v>600</c:v>
                </c:pt>
                <c:pt idx="9">
                  <c:v>660</c:v>
                </c:pt>
                <c:pt idx="10">
                  <c:v>720</c:v>
                </c:pt>
                <c:pt idx="11">
                  <c:v>780</c:v>
                </c:pt>
                <c:pt idx="12">
                  <c:v>840</c:v>
                </c:pt>
                <c:pt idx="13">
                  <c:v>900</c:v>
                </c:pt>
                <c:pt idx="14">
                  <c:v>960</c:v>
                </c:pt>
              </c:numCache>
            </c:numRef>
          </c:xVal>
          <c:yVal>
            <c:numRef>
              <c:f>Sheet1!$D$6:$D$20</c:f>
              <c:numCache>
                <c:formatCode>General</c:formatCode>
                <c:ptCount val="15"/>
                <c:pt idx="0">
                  <c:v>98</c:v>
                </c:pt>
                <c:pt idx="1">
                  <c:v>98.1</c:v>
                </c:pt>
                <c:pt idx="2">
                  <c:v>98.1</c:v>
                </c:pt>
                <c:pt idx="3">
                  <c:v>98.2</c:v>
                </c:pt>
                <c:pt idx="4">
                  <c:v>98.2</c:v>
                </c:pt>
                <c:pt idx="5">
                  <c:v>98.2</c:v>
                </c:pt>
                <c:pt idx="6">
                  <c:v>98.2</c:v>
                </c:pt>
                <c:pt idx="7">
                  <c:v>98.2</c:v>
                </c:pt>
                <c:pt idx="8">
                  <c:v>98.2</c:v>
                </c:pt>
                <c:pt idx="9">
                  <c:v>98.2</c:v>
                </c:pt>
                <c:pt idx="10">
                  <c:v>61.8</c:v>
                </c:pt>
                <c:pt idx="11">
                  <c:v>45.3</c:v>
                </c:pt>
                <c:pt idx="12">
                  <c:v>34.4</c:v>
                </c:pt>
                <c:pt idx="13">
                  <c:v>28.3</c:v>
                </c:pt>
                <c:pt idx="14">
                  <c:v>25.3</c:v>
                </c:pt>
              </c:numCache>
            </c:numRef>
          </c:yVal>
          <c:smooth val="1"/>
          <c:extLst>
            <c:ext xmlns:c16="http://schemas.microsoft.com/office/drawing/2014/chart" uri="{C3380CC4-5D6E-409C-BE32-E72D297353CC}">
              <c16:uniqueId val="{00000000-FE9C-42D1-91AF-73A93DB0D9AF}"/>
            </c:ext>
          </c:extLst>
        </c:ser>
        <c:ser>
          <c:idx val="1"/>
          <c:order val="1"/>
          <c:tx>
            <c:v>Run 5 without back-purge</c:v>
          </c:tx>
          <c:spPr>
            <a:ln w="28575" cap="rnd" cmpd="sng" algn="ctr">
              <a:solidFill>
                <a:schemeClr val="accent2">
                  <a:shade val="95000"/>
                  <a:satMod val="105000"/>
                </a:schemeClr>
              </a:solidFill>
              <a:prstDash val="solid"/>
              <a:round/>
            </a:ln>
            <a:effectLst/>
          </c:spPr>
          <c:marker>
            <c:symbol val="square"/>
            <c:size val="5"/>
            <c:spPr>
              <a:solidFill>
                <a:schemeClr val="accent2"/>
              </a:solidFill>
              <a:ln w="9525" cap="flat" cmpd="sng" algn="ctr">
                <a:solidFill>
                  <a:schemeClr val="accent2">
                    <a:shade val="95000"/>
                    <a:satMod val="105000"/>
                  </a:schemeClr>
                </a:solidFill>
                <a:prstDash val="solid"/>
                <a:round/>
              </a:ln>
              <a:effectLst/>
            </c:spPr>
          </c:marker>
          <c:xVal>
            <c:numRef>
              <c:f>Sheet1!$A$6:$A$37</c:f>
              <c:numCache>
                <c:formatCode>General</c:formatCode>
                <c:ptCount val="32"/>
                <c:pt idx="0">
                  <c:v>120</c:v>
                </c:pt>
                <c:pt idx="1">
                  <c:v>180</c:v>
                </c:pt>
                <c:pt idx="2">
                  <c:v>240</c:v>
                </c:pt>
                <c:pt idx="3">
                  <c:v>300</c:v>
                </c:pt>
                <c:pt idx="4">
                  <c:v>360</c:v>
                </c:pt>
                <c:pt idx="5">
                  <c:v>420</c:v>
                </c:pt>
                <c:pt idx="6">
                  <c:v>480</c:v>
                </c:pt>
                <c:pt idx="7">
                  <c:v>540</c:v>
                </c:pt>
                <c:pt idx="8">
                  <c:v>600</c:v>
                </c:pt>
                <c:pt idx="9">
                  <c:v>660</c:v>
                </c:pt>
                <c:pt idx="10">
                  <c:v>720</c:v>
                </c:pt>
                <c:pt idx="11">
                  <c:v>780</c:v>
                </c:pt>
                <c:pt idx="12">
                  <c:v>840</c:v>
                </c:pt>
                <c:pt idx="13">
                  <c:v>900</c:v>
                </c:pt>
                <c:pt idx="14">
                  <c:v>960</c:v>
                </c:pt>
                <c:pt idx="15">
                  <c:v>1020</c:v>
                </c:pt>
                <c:pt idx="16">
                  <c:v>1080</c:v>
                </c:pt>
                <c:pt idx="17">
                  <c:v>1140</c:v>
                </c:pt>
                <c:pt idx="18">
                  <c:v>1200</c:v>
                </c:pt>
                <c:pt idx="19">
                  <c:v>1260</c:v>
                </c:pt>
                <c:pt idx="20">
                  <c:v>1320</c:v>
                </c:pt>
                <c:pt idx="21">
                  <c:v>1380</c:v>
                </c:pt>
                <c:pt idx="22">
                  <c:v>1440</c:v>
                </c:pt>
                <c:pt idx="23">
                  <c:v>1500</c:v>
                </c:pt>
                <c:pt idx="24">
                  <c:v>1560</c:v>
                </c:pt>
                <c:pt idx="25">
                  <c:v>1620</c:v>
                </c:pt>
                <c:pt idx="26">
                  <c:v>1680</c:v>
                </c:pt>
                <c:pt idx="27">
                  <c:v>1740</c:v>
                </c:pt>
                <c:pt idx="28">
                  <c:v>1800</c:v>
                </c:pt>
                <c:pt idx="29">
                  <c:v>1860</c:v>
                </c:pt>
                <c:pt idx="30">
                  <c:v>1920</c:v>
                </c:pt>
                <c:pt idx="31">
                  <c:v>1980</c:v>
                </c:pt>
              </c:numCache>
            </c:numRef>
          </c:xVal>
          <c:yVal>
            <c:numRef>
              <c:f>Sheet1!$C$6:$C$37</c:f>
              <c:numCache>
                <c:formatCode>General</c:formatCode>
                <c:ptCount val="32"/>
                <c:pt idx="0">
                  <c:v>42.6</c:v>
                </c:pt>
                <c:pt idx="1">
                  <c:v>47.5</c:v>
                </c:pt>
                <c:pt idx="2">
                  <c:v>50.7</c:v>
                </c:pt>
                <c:pt idx="3">
                  <c:v>53</c:v>
                </c:pt>
                <c:pt idx="4">
                  <c:v>55</c:v>
                </c:pt>
                <c:pt idx="5">
                  <c:v>56.6</c:v>
                </c:pt>
                <c:pt idx="6">
                  <c:v>57.9</c:v>
                </c:pt>
                <c:pt idx="7">
                  <c:v>59.4</c:v>
                </c:pt>
                <c:pt idx="8">
                  <c:v>60.4</c:v>
                </c:pt>
                <c:pt idx="9">
                  <c:v>61.1</c:v>
                </c:pt>
                <c:pt idx="10">
                  <c:v>61.9</c:v>
                </c:pt>
                <c:pt idx="11">
                  <c:v>62.7</c:v>
                </c:pt>
                <c:pt idx="12">
                  <c:v>63.3</c:v>
                </c:pt>
                <c:pt idx="14">
                  <c:v>64</c:v>
                </c:pt>
                <c:pt idx="15">
                  <c:v>64.5</c:v>
                </c:pt>
                <c:pt idx="16">
                  <c:v>65</c:v>
                </c:pt>
                <c:pt idx="17">
                  <c:v>65.599999999999994</c:v>
                </c:pt>
                <c:pt idx="18">
                  <c:v>66</c:v>
                </c:pt>
                <c:pt idx="19">
                  <c:v>66.5</c:v>
                </c:pt>
                <c:pt idx="20">
                  <c:v>66.900000000000006</c:v>
                </c:pt>
                <c:pt idx="21">
                  <c:v>64.400000000000006</c:v>
                </c:pt>
                <c:pt idx="22">
                  <c:v>56.1</c:v>
                </c:pt>
                <c:pt idx="23">
                  <c:v>48.8</c:v>
                </c:pt>
                <c:pt idx="24">
                  <c:v>43.8</c:v>
                </c:pt>
                <c:pt idx="25">
                  <c:v>39.799999999999997</c:v>
                </c:pt>
                <c:pt idx="26">
                  <c:v>35.700000000000003</c:v>
                </c:pt>
                <c:pt idx="27">
                  <c:v>31.6</c:v>
                </c:pt>
                <c:pt idx="28">
                  <c:v>28.7</c:v>
                </c:pt>
                <c:pt idx="29">
                  <c:v>27.2</c:v>
                </c:pt>
                <c:pt idx="30">
                  <c:v>26.1</c:v>
                </c:pt>
                <c:pt idx="31">
                  <c:v>25.4</c:v>
                </c:pt>
              </c:numCache>
            </c:numRef>
          </c:yVal>
          <c:smooth val="1"/>
          <c:extLst>
            <c:ext xmlns:c16="http://schemas.microsoft.com/office/drawing/2014/chart" uri="{C3380CC4-5D6E-409C-BE32-E72D297353CC}">
              <c16:uniqueId val="{00000001-FE9C-42D1-91AF-73A93DB0D9AF}"/>
            </c:ext>
          </c:extLst>
        </c:ser>
        <c:dLbls>
          <c:showLegendKey val="0"/>
          <c:showVal val="0"/>
          <c:showCatName val="0"/>
          <c:showSerName val="0"/>
          <c:showPercent val="0"/>
          <c:showBubbleSize val="0"/>
        </c:dLbls>
        <c:axId val="948435759"/>
        <c:axId val="1"/>
      </c:scatterChart>
      <c:valAx>
        <c:axId val="948435759"/>
        <c:scaling>
          <c:orientation val="minMax"/>
          <c:max val="2100"/>
          <c:min val="0"/>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(a)                 Time (s)</a:t>
                </a:r>
              </a:p>
            </c:rich>
          </c:tx>
          <c:layout>
            <c:manualLayout>
              <c:xMode val="edge"/>
              <c:yMode val="edge"/>
              <c:x val="0.33397683333747319"/>
              <c:y val="0.85177370406824138"/>
            </c:manualLayout>
          </c:layout>
          <c:overlay val="0"/>
          <c:spPr>
            <a:noFill/>
            <a:ln w="25400">
              <a:noFill/>
            </a:ln>
            <a:effectLst/>
          </c:spPr>
          <c:txPr>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1"/>
        <c:crosses val="autoZero"/>
        <c:crossBetween val="midCat"/>
      </c:valAx>
      <c:valAx>
        <c:axId val="1"/>
        <c:scaling>
          <c:orientation val="minMax"/>
          <c:max val="100"/>
          <c:min val="20"/>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H</a:t>
                </a:r>
                <a:r>
                  <a:rPr lang="en-GB" sz="900" baseline="-25000"/>
                  <a:t>2</a:t>
                </a:r>
                <a:r>
                  <a:rPr lang="en-GB" sz="900"/>
                  <a:t> (vol%)</a:t>
                </a:r>
              </a:p>
            </c:rich>
          </c:tx>
          <c:layout>
            <c:manualLayout>
              <c:xMode val="edge"/>
              <c:yMode val="edge"/>
              <c:x val="1.1952202860630584E-2"/>
              <c:y val="0.29041095890410956"/>
            </c:manualLayout>
          </c:layout>
          <c:overlay val="0"/>
          <c:spPr>
            <a:noFill/>
            <a:ln w="25400">
              <a:noFill/>
            </a:ln>
            <a:effectLst/>
          </c:spPr>
          <c:txPr>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948435759"/>
        <c:crosses val="autoZero"/>
        <c:crossBetween val="midCat"/>
      </c:valAx>
      <c:spPr>
        <a:noFill/>
        <a:ln w="12700">
          <a:solidFill>
            <a:srgbClr val="000000"/>
          </a:solidFill>
          <a:prstDash val="solid"/>
        </a:ln>
        <a:effectLst/>
      </c:spPr>
    </c:plotArea>
    <c:legend>
      <c:legendPos val="r"/>
      <c:layout>
        <c:manualLayout>
          <c:xMode val="edge"/>
          <c:yMode val="edge"/>
          <c:x val="0.44066469609279912"/>
          <c:y val="0.13289083005249344"/>
          <c:w val="0.40770080396101904"/>
          <c:h val="0.20821917808219179"/>
        </c:manualLayout>
      </c:layout>
      <c:overlay val="0"/>
      <c:spPr>
        <a:solidFill>
          <a:srgbClr val="FFFFFF"/>
        </a:solidFill>
        <a:ln w="3175">
          <a:solidFill>
            <a:srgbClr val="000000"/>
          </a:solidFill>
          <a:prstDash val="solid"/>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cap="flat" cmpd="sng" algn="ctr">
      <a:noFill/>
      <a:prstDash val="solid"/>
      <a:round/>
    </a:ln>
    <a:effectLst/>
  </c:spPr>
  <c:txPr>
    <a:bodyPr/>
    <a:lstStyle/>
    <a:p>
      <a:pPr>
        <a:defRPr sz="1025" b="0" i="0" u="none" strike="noStrike" baseline="0">
          <a:solidFill>
            <a:srgbClr val="000000"/>
          </a:solidFill>
          <a:latin typeface="Arial"/>
          <a:ea typeface="Arial"/>
          <a:cs typeface="Aria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365985860962783"/>
          <c:y val="8.6183129547830917E-2"/>
          <c:w val="0.73455214649892897"/>
          <c:h val="0.66400421538216814"/>
        </c:manualLayout>
      </c:layout>
      <c:scatterChart>
        <c:scatterStyle val="smoothMarker"/>
        <c:varyColors val="0"/>
        <c:ser>
          <c:idx val="0"/>
          <c:order val="0"/>
          <c:tx>
            <c:v>Run 7 with 300 s back-purge</c:v>
          </c:tx>
          <c:spPr>
            <a:ln w="28575" cap="rnd" cmpd="sng" algn="ctr">
              <a:solidFill>
                <a:schemeClr val="accent1">
                  <a:shade val="95000"/>
                  <a:satMod val="105000"/>
                </a:schemeClr>
              </a:solidFill>
              <a:prstDash val="solid"/>
              <a:round/>
            </a:ln>
            <a:effectLst/>
          </c:spPr>
          <c:marker>
            <c:symbol val="diamond"/>
            <c:size val="5"/>
            <c:spPr>
              <a:solidFill>
                <a:schemeClr val="accent1"/>
              </a:solidFill>
              <a:ln w="9525" cap="flat" cmpd="sng" algn="ctr">
                <a:solidFill>
                  <a:schemeClr val="accent1">
                    <a:shade val="95000"/>
                    <a:satMod val="105000"/>
                  </a:schemeClr>
                </a:solidFill>
                <a:prstDash val="solid"/>
                <a:round/>
              </a:ln>
              <a:effectLst/>
            </c:spPr>
          </c:marker>
          <c:xVal>
            <c:numRef>
              <c:f>Sheet1!$A$6:$A$30</c:f>
              <c:numCache>
                <c:formatCode>General</c:formatCode>
                <c:ptCount val="25"/>
                <c:pt idx="0">
                  <c:v>180</c:v>
                </c:pt>
                <c:pt idx="1">
                  <c:v>240</c:v>
                </c:pt>
                <c:pt idx="2">
                  <c:v>300</c:v>
                </c:pt>
                <c:pt idx="3">
                  <c:v>360</c:v>
                </c:pt>
                <c:pt idx="4">
                  <c:v>420</c:v>
                </c:pt>
                <c:pt idx="5">
                  <c:v>480</c:v>
                </c:pt>
                <c:pt idx="6">
                  <c:v>540</c:v>
                </c:pt>
                <c:pt idx="7">
                  <c:v>600</c:v>
                </c:pt>
                <c:pt idx="8">
                  <c:v>660</c:v>
                </c:pt>
                <c:pt idx="9">
                  <c:v>720</c:v>
                </c:pt>
                <c:pt idx="10">
                  <c:v>780</c:v>
                </c:pt>
                <c:pt idx="11">
                  <c:v>840</c:v>
                </c:pt>
                <c:pt idx="12">
                  <c:v>900</c:v>
                </c:pt>
                <c:pt idx="13">
                  <c:v>960</c:v>
                </c:pt>
                <c:pt idx="14">
                  <c:v>1020</c:v>
                </c:pt>
                <c:pt idx="15">
                  <c:v>1080</c:v>
                </c:pt>
                <c:pt idx="16">
                  <c:v>1140</c:v>
                </c:pt>
                <c:pt idx="17">
                  <c:v>1200</c:v>
                </c:pt>
                <c:pt idx="18">
                  <c:v>1260</c:v>
                </c:pt>
                <c:pt idx="19">
                  <c:v>1320</c:v>
                </c:pt>
                <c:pt idx="20">
                  <c:v>1380</c:v>
                </c:pt>
                <c:pt idx="21">
                  <c:v>1440</c:v>
                </c:pt>
                <c:pt idx="22">
                  <c:v>1500</c:v>
                </c:pt>
                <c:pt idx="23">
                  <c:v>1560</c:v>
                </c:pt>
                <c:pt idx="24">
                  <c:v>1620</c:v>
                </c:pt>
              </c:numCache>
            </c:numRef>
          </c:xVal>
          <c:yVal>
            <c:numRef>
              <c:f>Sheet1!$D$6:$D$30</c:f>
              <c:numCache>
                <c:formatCode>General</c:formatCode>
                <c:ptCount val="25"/>
                <c:pt idx="0">
                  <c:v>94</c:v>
                </c:pt>
                <c:pt idx="1">
                  <c:v>96.2</c:v>
                </c:pt>
                <c:pt idx="2">
                  <c:v>96.3</c:v>
                </c:pt>
                <c:pt idx="3">
                  <c:v>96.3</c:v>
                </c:pt>
                <c:pt idx="4">
                  <c:v>96.4</c:v>
                </c:pt>
                <c:pt idx="5">
                  <c:v>96.4</c:v>
                </c:pt>
                <c:pt idx="6">
                  <c:v>96.5</c:v>
                </c:pt>
                <c:pt idx="7">
                  <c:v>96.5</c:v>
                </c:pt>
                <c:pt idx="8">
                  <c:v>96.4</c:v>
                </c:pt>
                <c:pt idx="9">
                  <c:v>96.3</c:v>
                </c:pt>
                <c:pt idx="10">
                  <c:v>95.8</c:v>
                </c:pt>
                <c:pt idx="11">
                  <c:v>94.6</c:v>
                </c:pt>
                <c:pt idx="12">
                  <c:v>92.6</c:v>
                </c:pt>
                <c:pt idx="13">
                  <c:v>90.9</c:v>
                </c:pt>
                <c:pt idx="14">
                  <c:v>89.2</c:v>
                </c:pt>
                <c:pt idx="15">
                  <c:v>87.5</c:v>
                </c:pt>
                <c:pt idx="16">
                  <c:v>86</c:v>
                </c:pt>
                <c:pt idx="17">
                  <c:v>84.3</c:v>
                </c:pt>
                <c:pt idx="18">
                  <c:v>83</c:v>
                </c:pt>
                <c:pt idx="19">
                  <c:v>82.3</c:v>
                </c:pt>
                <c:pt idx="20">
                  <c:v>81.900000000000006</c:v>
                </c:pt>
                <c:pt idx="21">
                  <c:v>81.5</c:v>
                </c:pt>
                <c:pt idx="22">
                  <c:v>81.3</c:v>
                </c:pt>
                <c:pt idx="23">
                  <c:v>81.2</c:v>
                </c:pt>
                <c:pt idx="24">
                  <c:v>81.2</c:v>
                </c:pt>
              </c:numCache>
            </c:numRef>
          </c:yVal>
          <c:smooth val="1"/>
          <c:extLst>
            <c:ext xmlns:c16="http://schemas.microsoft.com/office/drawing/2014/chart" uri="{C3380CC4-5D6E-409C-BE32-E72D297353CC}">
              <c16:uniqueId val="{00000000-2663-4E3E-8AA5-5758C38BF9F4}"/>
            </c:ext>
          </c:extLst>
        </c:ser>
        <c:ser>
          <c:idx val="1"/>
          <c:order val="1"/>
          <c:tx>
            <c:v>Run 8 with 600 s back-purge</c:v>
          </c:tx>
          <c:spPr>
            <a:ln w="28575" cap="rnd" cmpd="sng" algn="ctr">
              <a:solidFill>
                <a:schemeClr val="accent2">
                  <a:shade val="95000"/>
                  <a:satMod val="105000"/>
                </a:schemeClr>
              </a:solidFill>
              <a:prstDash val="solid"/>
              <a:round/>
            </a:ln>
            <a:effectLst/>
          </c:spPr>
          <c:marker>
            <c:symbol val="square"/>
            <c:size val="5"/>
            <c:spPr>
              <a:solidFill>
                <a:schemeClr val="accent2"/>
              </a:solidFill>
              <a:ln w="9525" cap="flat" cmpd="sng" algn="ctr">
                <a:solidFill>
                  <a:schemeClr val="accent2">
                    <a:shade val="95000"/>
                    <a:satMod val="105000"/>
                  </a:schemeClr>
                </a:solidFill>
                <a:prstDash val="solid"/>
                <a:round/>
              </a:ln>
              <a:effectLst/>
            </c:spPr>
          </c:marker>
          <c:xVal>
            <c:numRef>
              <c:f>Sheet1!$A$5:$A$35</c:f>
              <c:numCache>
                <c:formatCode>General</c:formatCode>
                <c:ptCount val="31"/>
                <c:pt idx="0">
                  <c:v>120</c:v>
                </c:pt>
                <c:pt idx="1">
                  <c:v>180</c:v>
                </c:pt>
                <c:pt idx="2">
                  <c:v>240</c:v>
                </c:pt>
                <c:pt idx="3">
                  <c:v>300</c:v>
                </c:pt>
                <c:pt idx="4">
                  <c:v>360</c:v>
                </c:pt>
                <c:pt idx="5">
                  <c:v>420</c:v>
                </c:pt>
                <c:pt idx="6">
                  <c:v>480</c:v>
                </c:pt>
                <c:pt idx="7">
                  <c:v>540</c:v>
                </c:pt>
                <c:pt idx="8">
                  <c:v>600</c:v>
                </c:pt>
                <c:pt idx="9">
                  <c:v>660</c:v>
                </c:pt>
                <c:pt idx="10">
                  <c:v>720</c:v>
                </c:pt>
                <c:pt idx="11">
                  <c:v>780</c:v>
                </c:pt>
                <c:pt idx="12">
                  <c:v>840</c:v>
                </c:pt>
                <c:pt idx="13">
                  <c:v>900</c:v>
                </c:pt>
                <c:pt idx="14">
                  <c:v>960</c:v>
                </c:pt>
                <c:pt idx="15">
                  <c:v>1020</c:v>
                </c:pt>
                <c:pt idx="16">
                  <c:v>1080</c:v>
                </c:pt>
                <c:pt idx="17">
                  <c:v>1140</c:v>
                </c:pt>
                <c:pt idx="18">
                  <c:v>1200</c:v>
                </c:pt>
                <c:pt idx="19">
                  <c:v>1260</c:v>
                </c:pt>
                <c:pt idx="20">
                  <c:v>1320</c:v>
                </c:pt>
                <c:pt idx="21">
                  <c:v>1380</c:v>
                </c:pt>
                <c:pt idx="22">
                  <c:v>1440</c:v>
                </c:pt>
                <c:pt idx="23">
                  <c:v>1500</c:v>
                </c:pt>
                <c:pt idx="24">
                  <c:v>1560</c:v>
                </c:pt>
                <c:pt idx="25">
                  <c:v>1620</c:v>
                </c:pt>
                <c:pt idx="26">
                  <c:v>1680</c:v>
                </c:pt>
                <c:pt idx="27">
                  <c:v>1740</c:v>
                </c:pt>
                <c:pt idx="28">
                  <c:v>1800</c:v>
                </c:pt>
                <c:pt idx="29">
                  <c:v>1860</c:v>
                </c:pt>
                <c:pt idx="30">
                  <c:v>1920</c:v>
                </c:pt>
              </c:numCache>
            </c:numRef>
          </c:xVal>
          <c:yVal>
            <c:numRef>
              <c:f>Sheet1!$C$5:$C$35</c:f>
              <c:numCache>
                <c:formatCode>General</c:formatCode>
                <c:ptCount val="31"/>
                <c:pt idx="0">
                  <c:v>94.5</c:v>
                </c:pt>
                <c:pt idx="1">
                  <c:v>96.1</c:v>
                </c:pt>
                <c:pt idx="2">
                  <c:v>96.3</c:v>
                </c:pt>
                <c:pt idx="3">
                  <c:v>96.4</c:v>
                </c:pt>
                <c:pt idx="4">
                  <c:v>96.6</c:v>
                </c:pt>
                <c:pt idx="5">
                  <c:v>96.6</c:v>
                </c:pt>
                <c:pt idx="6">
                  <c:v>96.6</c:v>
                </c:pt>
                <c:pt idx="7">
                  <c:v>96.6</c:v>
                </c:pt>
                <c:pt idx="8">
                  <c:v>96.7</c:v>
                </c:pt>
                <c:pt idx="9">
                  <c:v>96.7</c:v>
                </c:pt>
                <c:pt idx="10">
                  <c:v>96.7</c:v>
                </c:pt>
                <c:pt idx="11">
                  <c:v>96.7</c:v>
                </c:pt>
                <c:pt idx="12">
                  <c:v>96.7</c:v>
                </c:pt>
                <c:pt idx="13">
                  <c:v>96.7</c:v>
                </c:pt>
                <c:pt idx="14">
                  <c:v>96.7</c:v>
                </c:pt>
                <c:pt idx="15">
                  <c:v>96.7</c:v>
                </c:pt>
                <c:pt idx="16">
                  <c:v>96.5</c:v>
                </c:pt>
                <c:pt idx="17">
                  <c:v>96.1</c:v>
                </c:pt>
                <c:pt idx="18">
                  <c:v>95.4</c:v>
                </c:pt>
                <c:pt idx="19">
                  <c:v>94.1</c:v>
                </c:pt>
                <c:pt idx="20">
                  <c:v>93</c:v>
                </c:pt>
                <c:pt idx="21">
                  <c:v>91.6</c:v>
                </c:pt>
                <c:pt idx="22">
                  <c:v>90.2</c:v>
                </c:pt>
                <c:pt idx="23">
                  <c:v>89.4</c:v>
                </c:pt>
                <c:pt idx="24">
                  <c:v>88.7</c:v>
                </c:pt>
                <c:pt idx="25">
                  <c:v>88.1</c:v>
                </c:pt>
                <c:pt idx="26">
                  <c:v>87.6</c:v>
                </c:pt>
                <c:pt idx="27">
                  <c:v>87.1</c:v>
                </c:pt>
                <c:pt idx="28">
                  <c:v>86.8</c:v>
                </c:pt>
                <c:pt idx="29">
                  <c:v>86.8</c:v>
                </c:pt>
                <c:pt idx="30">
                  <c:v>74.900000000000006</c:v>
                </c:pt>
              </c:numCache>
            </c:numRef>
          </c:yVal>
          <c:smooth val="1"/>
          <c:extLst>
            <c:ext xmlns:c16="http://schemas.microsoft.com/office/drawing/2014/chart" uri="{C3380CC4-5D6E-409C-BE32-E72D297353CC}">
              <c16:uniqueId val="{00000001-2663-4E3E-8AA5-5758C38BF9F4}"/>
            </c:ext>
          </c:extLst>
        </c:ser>
        <c:dLbls>
          <c:showLegendKey val="0"/>
          <c:showVal val="0"/>
          <c:showCatName val="0"/>
          <c:showSerName val="0"/>
          <c:showPercent val="0"/>
          <c:showBubbleSize val="0"/>
        </c:dLbls>
        <c:axId val="2025277999"/>
        <c:axId val="1"/>
      </c:scatterChart>
      <c:valAx>
        <c:axId val="2025277999"/>
        <c:scaling>
          <c:orientation val="minMax"/>
          <c:max val="2100"/>
          <c:min val="0"/>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       (b)                Time (s)</a:t>
                </a:r>
              </a:p>
            </c:rich>
          </c:tx>
          <c:layout>
            <c:manualLayout>
              <c:xMode val="edge"/>
              <c:yMode val="edge"/>
              <c:x val="0.23444253376373925"/>
              <c:y val="0.8572361991336449"/>
            </c:manualLayout>
          </c:layout>
          <c:overlay val="0"/>
          <c:spPr>
            <a:noFill/>
            <a:ln w="25400">
              <a:noFill/>
            </a:ln>
            <a:effectLst/>
          </c:spPr>
          <c:txPr>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1"/>
        <c:crosses val="autoZero"/>
        <c:crossBetween val="midCat"/>
      </c:valAx>
      <c:valAx>
        <c:axId val="1"/>
        <c:scaling>
          <c:orientation val="minMax"/>
          <c:max val="100"/>
          <c:min val="20"/>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H</a:t>
                </a:r>
                <a:r>
                  <a:rPr lang="en-GB" sz="900" baseline="-25000"/>
                  <a:t>2</a:t>
                </a:r>
                <a:r>
                  <a:rPr lang="en-GB" sz="900"/>
                  <a:t> (vol%)</a:t>
                </a:r>
              </a:p>
            </c:rich>
          </c:tx>
          <c:layout>
            <c:manualLayout>
              <c:xMode val="edge"/>
              <c:yMode val="edge"/>
              <c:x val="1.9880715705765408E-2"/>
              <c:y val="0.33333418772091261"/>
            </c:manualLayout>
          </c:layout>
          <c:overlay val="0"/>
          <c:spPr>
            <a:noFill/>
            <a:ln w="25400">
              <a:noFill/>
            </a:ln>
            <a:effectLst/>
          </c:spPr>
          <c:txPr>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2025277999"/>
        <c:crosses val="autoZero"/>
        <c:crossBetween val="midCat"/>
      </c:valAx>
      <c:spPr>
        <a:noFill/>
        <a:ln w="12700">
          <a:solidFill>
            <a:srgbClr val="000000"/>
          </a:solidFill>
          <a:prstDash val="solid"/>
        </a:ln>
        <a:effectLst/>
      </c:spPr>
    </c:plotArea>
    <c:legend>
      <c:legendPos val="r"/>
      <c:layout>
        <c:manualLayout>
          <c:xMode val="edge"/>
          <c:yMode val="edge"/>
          <c:x val="0.38800132742027943"/>
          <c:y val="0.46668075027206962"/>
          <c:w val="0.51543850122182999"/>
          <c:h val="0.23741587179651324"/>
        </c:manualLayout>
      </c:layout>
      <c:overlay val="0"/>
      <c:spPr>
        <a:solidFill>
          <a:srgbClr val="FFFFFF"/>
        </a:solidFill>
        <a:ln w="3175">
          <a:solidFill>
            <a:srgbClr val="000000"/>
          </a:solidFill>
          <a:prstDash val="solid"/>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cap="flat" cmpd="sng" algn="ctr">
      <a:noFill/>
      <a:prstDash val="solid"/>
      <a:round/>
    </a:ln>
    <a:effectLst/>
  </c:spPr>
  <c:txPr>
    <a:bodyPr/>
    <a:lstStyle/>
    <a:p>
      <a:pPr>
        <a:defRPr sz="1025" b="0" i="0" u="none" strike="noStrike" baseline="0">
          <a:solidFill>
            <a:srgbClr val="000000"/>
          </a:solidFill>
          <a:latin typeface="Arial"/>
          <a:ea typeface="Arial"/>
          <a:cs typeface="Aria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83111954459202"/>
          <c:y val="9.480812641083522E-2"/>
          <c:w val="0.72296466500406309"/>
          <c:h val="0.69525959367945822"/>
        </c:manualLayout>
      </c:layout>
      <c:scatterChart>
        <c:scatterStyle val="smoothMarker"/>
        <c:varyColors val="0"/>
        <c:ser>
          <c:idx val="1"/>
          <c:order val="0"/>
          <c:tx>
            <c:v>PSA1</c:v>
          </c:tx>
          <c:spPr>
            <a:ln w="28575" cap="rnd" cmpd="sng" algn="ctr">
              <a:solidFill>
                <a:schemeClr val="accent2">
                  <a:shade val="95000"/>
                  <a:satMod val="105000"/>
                </a:schemeClr>
              </a:solidFill>
              <a:prstDash val="solid"/>
              <a:round/>
            </a:ln>
            <a:effectLst/>
          </c:spPr>
          <c:marker>
            <c:symbol val="square"/>
            <c:size val="5"/>
            <c:spPr>
              <a:solidFill>
                <a:schemeClr val="accent2"/>
              </a:solidFill>
              <a:ln w="9525" cap="flat" cmpd="sng" algn="ctr">
                <a:solidFill>
                  <a:schemeClr val="accent2">
                    <a:shade val="95000"/>
                    <a:satMod val="105000"/>
                  </a:schemeClr>
                </a:solidFill>
                <a:prstDash val="solid"/>
                <a:round/>
              </a:ln>
              <a:effectLst/>
            </c:spPr>
          </c:marker>
          <c:xVal>
            <c:numRef>
              <c:f>Sheet1!$B$6:$B$24</c:f>
              <c:numCache>
                <c:formatCode>General</c:formatCode>
                <c:ptCount val="19"/>
                <c:pt idx="0">
                  <c:v>1</c:v>
                </c:pt>
                <c:pt idx="1">
                  <c:v>5</c:v>
                </c:pt>
                <c:pt idx="2">
                  <c:v>9</c:v>
                </c:pt>
                <c:pt idx="3">
                  <c:v>13</c:v>
                </c:pt>
                <c:pt idx="4">
                  <c:v>17</c:v>
                </c:pt>
                <c:pt idx="5">
                  <c:v>21</c:v>
                </c:pt>
                <c:pt idx="6">
                  <c:v>25</c:v>
                </c:pt>
                <c:pt idx="7">
                  <c:v>29</c:v>
                </c:pt>
                <c:pt idx="8">
                  <c:v>33</c:v>
                </c:pt>
                <c:pt idx="9">
                  <c:v>37</c:v>
                </c:pt>
                <c:pt idx="10">
                  <c:v>41</c:v>
                </c:pt>
                <c:pt idx="11">
                  <c:v>45</c:v>
                </c:pt>
                <c:pt idx="12">
                  <c:v>49</c:v>
                </c:pt>
                <c:pt idx="13">
                  <c:v>53</c:v>
                </c:pt>
                <c:pt idx="14">
                  <c:v>57</c:v>
                </c:pt>
                <c:pt idx="15">
                  <c:v>61</c:v>
                </c:pt>
                <c:pt idx="16">
                  <c:v>65</c:v>
                </c:pt>
                <c:pt idx="17">
                  <c:v>69</c:v>
                </c:pt>
                <c:pt idx="18">
                  <c:v>73</c:v>
                </c:pt>
              </c:numCache>
            </c:numRef>
          </c:xVal>
          <c:yVal>
            <c:numRef>
              <c:f>Sheet1!$G$6:$G$24</c:f>
              <c:numCache>
                <c:formatCode>General</c:formatCode>
                <c:ptCount val="19"/>
                <c:pt idx="0">
                  <c:v>63.757057189941406</c:v>
                </c:pt>
                <c:pt idx="1">
                  <c:v>65.756141662597656</c:v>
                </c:pt>
                <c:pt idx="2">
                  <c:v>68.197769165039063</c:v>
                </c:pt>
                <c:pt idx="3">
                  <c:v>69.494888305664063</c:v>
                </c:pt>
                <c:pt idx="4">
                  <c:v>70.776741027832031</c:v>
                </c:pt>
                <c:pt idx="5">
                  <c:v>71.783912658691406</c:v>
                </c:pt>
                <c:pt idx="6">
                  <c:v>71.951774597167969</c:v>
                </c:pt>
                <c:pt idx="7">
                  <c:v>71.905998229980469</c:v>
                </c:pt>
                <c:pt idx="8">
                  <c:v>71.29559326171875</c:v>
                </c:pt>
                <c:pt idx="9">
                  <c:v>70.364715576171875</c:v>
                </c:pt>
                <c:pt idx="10">
                  <c:v>68.869216918945313</c:v>
                </c:pt>
                <c:pt idx="11">
                  <c:v>67.587364196777344</c:v>
                </c:pt>
                <c:pt idx="12">
                  <c:v>65.603538513183594</c:v>
                </c:pt>
                <c:pt idx="13">
                  <c:v>63.146652221679688</c:v>
                </c:pt>
                <c:pt idx="14">
                  <c:v>61.239128112792969</c:v>
                </c:pt>
                <c:pt idx="15">
                  <c:v>58.965358734130859</c:v>
                </c:pt>
                <c:pt idx="16">
                  <c:v>57.3172607421875</c:v>
                </c:pt>
                <c:pt idx="17">
                  <c:v>55.34869384765625</c:v>
                </c:pt>
                <c:pt idx="18">
                  <c:v>53.776897430419922</c:v>
                </c:pt>
              </c:numCache>
            </c:numRef>
          </c:yVal>
          <c:smooth val="1"/>
          <c:extLst>
            <c:ext xmlns:c16="http://schemas.microsoft.com/office/drawing/2014/chart" uri="{C3380CC4-5D6E-409C-BE32-E72D297353CC}">
              <c16:uniqueId val="{00000000-D8CE-4849-BB29-1785E851649C}"/>
            </c:ext>
          </c:extLst>
        </c:ser>
        <c:ser>
          <c:idx val="2"/>
          <c:order val="1"/>
          <c:tx>
            <c:v>PSA2</c:v>
          </c:tx>
          <c:spPr>
            <a:ln w="28575" cap="rnd" cmpd="sng" algn="ctr">
              <a:solidFill>
                <a:schemeClr val="accent3">
                  <a:shade val="95000"/>
                  <a:satMod val="105000"/>
                </a:schemeClr>
              </a:solidFill>
              <a:prstDash val="solid"/>
              <a:round/>
            </a:ln>
            <a:effectLst/>
          </c:spPr>
          <c:marker>
            <c:symbol val="triangle"/>
            <c:size val="7"/>
            <c:spPr>
              <a:solidFill>
                <a:schemeClr val="accent3"/>
              </a:solidFill>
              <a:ln w="9525" cap="flat" cmpd="sng" algn="ctr">
                <a:solidFill>
                  <a:schemeClr val="accent3">
                    <a:shade val="95000"/>
                    <a:satMod val="105000"/>
                  </a:schemeClr>
                </a:solidFill>
                <a:prstDash val="solid"/>
                <a:round/>
              </a:ln>
              <a:effectLst/>
            </c:spPr>
          </c:marker>
          <c:xVal>
            <c:numRef>
              <c:f>Sheet1!$B$6:$B$24</c:f>
              <c:numCache>
                <c:formatCode>General</c:formatCode>
                <c:ptCount val="19"/>
                <c:pt idx="0">
                  <c:v>1</c:v>
                </c:pt>
                <c:pt idx="1">
                  <c:v>5</c:v>
                </c:pt>
                <c:pt idx="2">
                  <c:v>9</c:v>
                </c:pt>
                <c:pt idx="3">
                  <c:v>13</c:v>
                </c:pt>
                <c:pt idx="4">
                  <c:v>17</c:v>
                </c:pt>
                <c:pt idx="5">
                  <c:v>21</c:v>
                </c:pt>
                <c:pt idx="6">
                  <c:v>25</c:v>
                </c:pt>
                <c:pt idx="7">
                  <c:v>29</c:v>
                </c:pt>
                <c:pt idx="8">
                  <c:v>33</c:v>
                </c:pt>
                <c:pt idx="9">
                  <c:v>37</c:v>
                </c:pt>
                <c:pt idx="10">
                  <c:v>41</c:v>
                </c:pt>
                <c:pt idx="11">
                  <c:v>45</c:v>
                </c:pt>
                <c:pt idx="12">
                  <c:v>49</c:v>
                </c:pt>
                <c:pt idx="13">
                  <c:v>53</c:v>
                </c:pt>
                <c:pt idx="14">
                  <c:v>57</c:v>
                </c:pt>
                <c:pt idx="15">
                  <c:v>61</c:v>
                </c:pt>
                <c:pt idx="16">
                  <c:v>65</c:v>
                </c:pt>
                <c:pt idx="17">
                  <c:v>69</c:v>
                </c:pt>
                <c:pt idx="18">
                  <c:v>73</c:v>
                </c:pt>
              </c:numCache>
            </c:numRef>
          </c:xVal>
          <c:yVal>
            <c:numRef>
              <c:f>Sheet1!$H$6:$H$24</c:f>
              <c:numCache>
                <c:formatCode>General</c:formatCode>
                <c:ptCount val="19"/>
                <c:pt idx="0">
                  <c:v>99.099647521972656</c:v>
                </c:pt>
                <c:pt idx="1">
                  <c:v>100</c:v>
                </c:pt>
                <c:pt idx="2">
                  <c:v>99.679534912109375</c:v>
                </c:pt>
                <c:pt idx="3">
                  <c:v>98.153518676757813</c:v>
                </c:pt>
                <c:pt idx="4">
                  <c:v>96.490158081054688</c:v>
                </c:pt>
                <c:pt idx="5">
                  <c:v>94.124824523925781</c:v>
                </c:pt>
                <c:pt idx="6">
                  <c:v>91.439033508300781</c:v>
                </c:pt>
                <c:pt idx="7">
                  <c:v>88.737983703613281</c:v>
                </c:pt>
                <c:pt idx="8">
                  <c:v>86.128494262695313</c:v>
                </c:pt>
                <c:pt idx="9">
                  <c:v>83.686859130859375</c:v>
                </c:pt>
                <c:pt idx="10">
                  <c:v>81.825119018554688</c:v>
                </c:pt>
                <c:pt idx="11">
                  <c:v>80.772163391113281</c:v>
                </c:pt>
                <c:pt idx="12">
                  <c:v>80.924766540527344</c:v>
                </c:pt>
                <c:pt idx="13">
                  <c:v>80.985809326171875</c:v>
                </c:pt>
                <c:pt idx="14">
                  <c:v>80.589042663574219</c:v>
                </c:pt>
                <c:pt idx="15">
                  <c:v>80.66534423828125</c:v>
                </c:pt>
                <c:pt idx="16">
                  <c:v>80.268577575683594</c:v>
                </c:pt>
                <c:pt idx="17">
                  <c:v>79.642913818359375</c:v>
                </c:pt>
                <c:pt idx="18">
                  <c:v>79.078285217285156</c:v>
                </c:pt>
              </c:numCache>
            </c:numRef>
          </c:yVal>
          <c:smooth val="1"/>
          <c:extLst>
            <c:ext xmlns:c16="http://schemas.microsoft.com/office/drawing/2014/chart" uri="{C3380CC4-5D6E-409C-BE32-E72D297353CC}">
              <c16:uniqueId val="{00000001-D8CE-4849-BB29-1785E851649C}"/>
            </c:ext>
          </c:extLst>
        </c:ser>
        <c:dLbls>
          <c:showLegendKey val="0"/>
          <c:showVal val="0"/>
          <c:showCatName val="0"/>
          <c:showSerName val="0"/>
          <c:showPercent val="0"/>
          <c:showBubbleSize val="0"/>
        </c:dLbls>
        <c:axId val="1518718207"/>
        <c:axId val="1"/>
      </c:scatterChart>
      <c:valAx>
        <c:axId val="1518718207"/>
        <c:scaling>
          <c:orientation val="minMax"/>
          <c:max val="80"/>
          <c:min val="0"/>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(a)                    Time (s)</a:t>
                </a:r>
              </a:p>
            </c:rich>
          </c:tx>
          <c:layout>
            <c:manualLayout>
              <c:xMode val="edge"/>
              <c:yMode val="edge"/>
              <c:x val="0.31289750702870328"/>
              <c:y val="0.89014901708714977"/>
            </c:manualLayout>
          </c:layout>
          <c:overlay val="0"/>
          <c:spPr>
            <a:noFill/>
            <a:ln w="25400">
              <a:noFill/>
            </a:ln>
            <a:effectLst/>
          </c:spPr>
          <c:txPr>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1"/>
        <c:crosses val="autoZero"/>
        <c:crossBetween val="midCat"/>
      </c:valAx>
      <c:valAx>
        <c:axId val="1"/>
        <c:scaling>
          <c:orientation val="minMax"/>
          <c:max val="110"/>
          <c:min val="0"/>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Product flow (Nm</a:t>
                </a:r>
                <a:r>
                  <a:rPr lang="en-GB" sz="900" baseline="30000"/>
                  <a:t>3</a:t>
                </a:r>
                <a:r>
                  <a:rPr lang="en-GB" sz="900"/>
                  <a:t>/h)</a:t>
                </a:r>
              </a:p>
            </c:rich>
          </c:tx>
          <c:layout>
            <c:manualLayout>
              <c:xMode val="edge"/>
              <c:yMode val="edge"/>
              <c:x val="1.6471638961796438E-2"/>
              <c:y val="0.14144131983502062"/>
            </c:manualLayout>
          </c:layout>
          <c:overlay val="0"/>
          <c:spPr>
            <a:noFill/>
            <a:ln w="25400">
              <a:noFill/>
            </a:ln>
            <a:effectLst/>
          </c:spPr>
          <c:txPr>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1518718207"/>
        <c:crosses val="autoZero"/>
        <c:crossBetween val="midCat"/>
      </c:valAx>
      <c:spPr>
        <a:noFill/>
        <a:ln w="12700">
          <a:solidFill>
            <a:srgbClr val="000000"/>
          </a:solidFill>
          <a:prstDash val="solid"/>
        </a:ln>
        <a:effectLst/>
      </c:spPr>
    </c:plotArea>
    <c:legend>
      <c:legendPos val="r"/>
      <c:layout>
        <c:manualLayout>
          <c:xMode val="edge"/>
          <c:yMode val="edge"/>
          <c:x val="0.57305502846299805"/>
          <c:y val="0.60722347629796836"/>
          <c:w val="0.3029640565762613"/>
          <c:h val="0.13769751693002258"/>
        </c:manualLayout>
      </c:layout>
      <c:overlay val="0"/>
      <c:spPr>
        <a:solidFill>
          <a:srgbClr val="FFFFFF"/>
        </a:solidFill>
        <a:ln w="3175">
          <a:solidFill>
            <a:srgbClr val="000000"/>
          </a:solidFill>
          <a:prstDash val="solid"/>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cap="flat" cmpd="sng" algn="ctr">
      <a:noFill/>
      <a:prstDash val="solid"/>
      <a:round/>
    </a:ln>
    <a:effectLst/>
  </c:spPr>
  <c:txPr>
    <a:bodyPr/>
    <a:lstStyle/>
    <a:p>
      <a:pPr>
        <a:defRPr sz="1575" b="0" i="0" u="none" strike="noStrike" baseline="0">
          <a:solidFill>
            <a:srgbClr val="000000"/>
          </a:solidFill>
          <a:latin typeface="Arial"/>
          <a:ea typeface="Arial"/>
          <a:cs typeface="Aria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43977576012029"/>
          <c:y val="9.0410958904109592E-2"/>
          <c:w val="0.73784216474720021"/>
          <c:h val="0.7039000043027408"/>
        </c:manualLayout>
      </c:layout>
      <c:scatterChart>
        <c:scatterStyle val="smoothMarker"/>
        <c:varyColors val="0"/>
        <c:ser>
          <c:idx val="1"/>
          <c:order val="0"/>
          <c:tx>
            <c:v>PSA1</c:v>
          </c:tx>
          <c:spPr>
            <a:ln w="28575" cap="rnd" cmpd="sng" algn="ctr">
              <a:solidFill>
                <a:schemeClr val="accent2">
                  <a:shade val="95000"/>
                  <a:satMod val="105000"/>
                </a:schemeClr>
              </a:solidFill>
              <a:prstDash val="solid"/>
              <a:round/>
            </a:ln>
            <a:effectLst/>
          </c:spPr>
          <c:marker>
            <c:symbol val="square"/>
            <c:size val="5"/>
            <c:spPr>
              <a:solidFill>
                <a:schemeClr val="accent2"/>
              </a:solidFill>
              <a:ln w="9525" cap="flat" cmpd="sng" algn="ctr">
                <a:solidFill>
                  <a:schemeClr val="accent2">
                    <a:shade val="95000"/>
                    <a:satMod val="105000"/>
                  </a:schemeClr>
                </a:solidFill>
                <a:prstDash val="solid"/>
                <a:round/>
              </a:ln>
              <a:effectLst/>
            </c:spPr>
          </c:marker>
          <c:xVal>
            <c:numRef>
              <c:f>Sheet1!$J$211:$J$226</c:f>
              <c:numCache>
                <c:formatCode>General</c:formatCode>
                <c:ptCount val="1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73</c:v>
                </c:pt>
              </c:numCache>
            </c:numRef>
          </c:xVal>
          <c:yVal>
            <c:numRef>
              <c:f>Sheet1!$K$211:$K$226</c:f>
              <c:numCache>
                <c:formatCode>General</c:formatCode>
                <c:ptCount val="16"/>
                <c:pt idx="0">
                  <c:v>72.753044128417969</c:v>
                </c:pt>
                <c:pt idx="1">
                  <c:v>83.527565002441406</c:v>
                </c:pt>
                <c:pt idx="2">
                  <c:v>89.196769714355469</c:v>
                </c:pt>
                <c:pt idx="3">
                  <c:v>91.082023620605469</c:v>
                </c:pt>
                <c:pt idx="4">
                  <c:v>91.421943664550781</c:v>
                </c:pt>
                <c:pt idx="5">
                  <c:v>91.112442016601563</c:v>
                </c:pt>
                <c:pt idx="6">
                  <c:v>90.495681762695313</c:v>
                </c:pt>
                <c:pt idx="7">
                  <c:v>89.637054443359375</c:v>
                </c:pt>
                <c:pt idx="8">
                  <c:v>88.565589904785156</c:v>
                </c:pt>
                <c:pt idx="9">
                  <c:v>87.212333679199219</c:v>
                </c:pt>
                <c:pt idx="10">
                  <c:v>85.549995422363281</c:v>
                </c:pt>
                <c:pt idx="11">
                  <c:v>83.493972778320313</c:v>
                </c:pt>
                <c:pt idx="12">
                  <c:v>81.098037719726563</c:v>
                </c:pt>
                <c:pt idx="13">
                  <c:v>78.229606628417969</c:v>
                </c:pt>
                <c:pt idx="14">
                  <c:v>75.280296325683594</c:v>
                </c:pt>
                <c:pt idx="15">
                  <c:v>73.547676086425781</c:v>
                </c:pt>
              </c:numCache>
            </c:numRef>
          </c:yVal>
          <c:smooth val="1"/>
          <c:extLst>
            <c:ext xmlns:c16="http://schemas.microsoft.com/office/drawing/2014/chart" uri="{C3380CC4-5D6E-409C-BE32-E72D297353CC}">
              <c16:uniqueId val="{00000000-10B4-4451-9F9C-AD9FB2E0EDA0}"/>
            </c:ext>
          </c:extLst>
        </c:ser>
        <c:ser>
          <c:idx val="2"/>
          <c:order val="1"/>
          <c:tx>
            <c:v>PSA2</c:v>
          </c:tx>
          <c:spPr>
            <a:ln w="28575" cap="rnd" cmpd="sng" algn="ctr">
              <a:solidFill>
                <a:schemeClr val="accent3">
                  <a:shade val="95000"/>
                  <a:satMod val="105000"/>
                </a:schemeClr>
              </a:solidFill>
              <a:prstDash val="solid"/>
              <a:round/>
            </a:ln>
            <a:effectLst/>
          </c:spPr>
          <c:marker>
            <c:symbol val="triangle"/>
            <c:size val="7"/>
            <c:spPr>
              <a:solidFill>
                <a:schemeClr val="accent3"/>
              </a:solidFill>
              <a:ln w="9525" cap="flat" cmpd="sng" algn="ctr">
                <a:solidFill>
                  <a:schemeClr val="accent3">
                    <a:shade val="95000"/>
                    <a:satMod val="105000"/>
                  </a:schemeClr>
                </a:solidFill>
                <a:prstDash val="solid"/>
                <a:round/>
              </a:ln>
              <a:effectLst/>
            </c:spPr>
          </c:marker>
          <c:xVal>
            <c:numRef>
              <c:f>Sheet1!$J$211:$J$226</c:f>
              <c:numCache>
                <c:formatCode>General</c:formatCode>
                <c:ptCount val="16"/>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73</c:v>
                </c:pt>
              </c:numCache>
            </c:numRef>
          </c:xVal>
          <c:yVal>
            <c:numRef>
              <c:f>Sheet1!$L$211:$L$226</c:f>
              <c:numCache>
                <c:formatCode>General</c:formatCode>
                <c:ptCount val="16"/>
                <c:pt idx="0">
                  <c:v>71.507133483886719</c:v>
                </c:pt>
                <c:pt idx="1">
                  <c:v>84.038688659667969</c:v>
                </c:pt>
                <c:pt idx="2">
                  <c:v>90.512191772460938</c:v>
                </c:pt>
                <c:pt idx="3">
                  <c:v>92.616264343261719</c:v>
                </c:pt>
                <c:pt idx="4">
                  <c:v>93.09173583984375</c:v>
                </c:pt>
                <c:pt idx="5">
                  <c:v>92.958229064941406</c:v>
                </c:pt>
                <c:pt idx="6">
                  <c:v>92.561920166015625</c:v>
                </c:pt>
                <c:pt idx="7">
                  <c:v>92.006263732910156</c:v>
                </c:pt>
                <c:pt idx="8">
                  <c:v>91.377662658691406</c:v>
                </c:pt>
                <c:pt idx="9">
                  <c:v>90.748703002929688</c:v>
                </c:pt>
                <c:pt idx="10">
                  <c:v>90.0438232421875</c:v>
                </c:pt>
                <c:pt idx="11">
                  <c:v>89.189971923828125</c:v>
                </c:pt>
                <c:pt idx="12">
                  <c:v>88.374595642089844</c:v>
                </c:pt>
                <c:pt idx="13">
                  <c:v>87.490341186523438</c:v>
                </c:pt>
                <c:pt idx="14">
                  <c:v>86.5989990234375</c:v>
                </c:pt>
                <c:pt idx="15">
                  <c:v>86.047615051269531</c:v>
                </c:pt>
              </c:numCache>
            </c:numRef>
          </c:yVal>
          <c:smooth val="1"/>
          <c:extLst>
            <c:ext xmlns:c16="http://schemas.microsoft.com/office/drawing/2014/chart" uri="{C3380CC4-5D6E-409C-BE32-E72D297353CC}">
              <c16:uniqueId val="{00000001-10B4-4451-9F9C-AD9FB2E0EDA0}"/>
            </c:ext>
          </c:extLst>
        </c:ser>
        <c:dLbls>
          <c:showLegendKey val="0"/>
          <c:showVal val="0"/>
          <c:showCatName val="0"/>
          <c:showSerName val="0"/>
          <c:showPercent val="0"/>
          <c:showBubbleSize val="0"/>
        </c:dLbls>
        <c:axId val="515013072"/>
        <c:axId val="1"/>
      </c:scatterChart>
      <c:valAx>
        <c:axId val="515013072"/>
        <c:scaling>
          <c:orientation val="minMax"/>
          <c:max val="80"/>
          <c:min val="0"/>
        </c:scaling>
        <c:delete val="0"/>
        <c:axPos val="b"/>
        <c:title>
          <c:tx>
            <c:rich>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(b)                         Time (s)</a:t>
                </a:r>
              </a:p>
            </c:rich>
          </c:tx>
          <c:layout>
            <c:manualLayout>
              <c:xMode val="edge"/>
              <c:yMode val="edge"/>
              <c:x val="0.28417294813237315"/>
              <c:y val="0.8961873413364313"/>
            </c:manualLayout>
          </c:layout>
          <c:overlay val="0"/>
          <c:spPr>
            <a:noFill/>
            <a:ln w="25400">
              <a:noFill/>
            </a:ln>
            <a:effectLst/>
          </c:spPr>
          <c:txPr>
            <a:bodyPr rot="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1"/>
        <c:crosses val="autoZero"/>
        <c:crossBetween val="midCat"/>
      </c:valAx>
      <c:valAx>
        <c:axId val="1"/>
        <c:scaling>
          <c:orientation val="minMax"/>
          <c:max val="100"/>
          <c:min val="20"/>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r>
                  <a:rPr lang="en-GB" sz="900"/>
                  <a:t>H</a:t>
                </a:r>
                <a:r>
                  <a:rPr lang="en-GB" sz="900" baseline="-25000"/>
                  <a:t>2</a:t>
                </a:r>
                <a:r>
                  <a:rPr lang="en-GB" sz="900"/>
                  <a:t> vol%</a:t>
                </a:r>
              </a:p>
            </c:rich>
          </c:tx>
          <c:layout>
            <c:manualLayout>
              <c:xMode val="edge"/>
              <c:yMode val="edge"/>
              <c:x val="3.0303030303030304E-2"/>
              <c:y val="0.28493160710680393"/>
            </c:manualLayout>
          </c:layout>
          <c:overlay val="0"/>
          <c:spPr>
            <a:noFill/>
            <a:ln w="25400">
              <a:noFill/>
            </a:ln>
            <a:effectLst/>
          </c:spPr>
          <c:txPr>
            <a:bodyPr rot="-5400000" spcFirstLastPara="1" vertOverflow="ellipsis" vert="horz" wrap="square" anchor="ctr" anchorCtr="1"/>
            <a:lstStyle/>
            <a:p>
              <a:pPr>
                <a:defRPr sz="900" b="1"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900" b="0" i="0" u="none" strike="noStrike" kern="1200" baseline="0">
                <a:solidFill>
                  <a:srgbClr val="000000"/>
                </a:solidFill>
                <a:latin typeface="Arial"/>
                <a:ea typeface="Arial"/>
                <a:cs typeface="Arial"/>
              </a:defRPr>
            </a:pPr>
            <a:endParaRPr lang="en-US"/>
          </a:p>
        </c:txPr>
        <c:crossAx val="515013072"/>
        <c:crosses val="autoZero"/>
        <c:crossBetween val="midCat"/>
      </c:valAx>
      <c:spPr>
        <a:noFill/>
        <a:ln w="12700">
          <a:solidFill>
            <a:srgbClr val="000000"/>
          </a:solidFill>
          <a:prstDash val="solid"/>
        </a:ln>
        <a:effectLst/>
      </c:spPr>
    </c:plotArea>
    <c:legend>
      <c:legendPos val="r"/>
      <c:layout>
        <c:manualLayout>
          <c:xMode val="edge"/>
          <c:yMode val="edge"/>
          <c:x val="0.65057938932010728"/>
          <c:y val="0.54928015145647779"/>
          <c:w val="0.24998907165074116"/>
          <c:h val="0.13834626786759568"/>
        </c:manualLayout>
      </c:layout>
      <c:overlay val="0"/>
      <c:spPr>
        <a:solidFill>
          <a:srgbClr val="FFFFFF"/>
        </a:solidFill>
        <a:ln w="3175">
          <a:solidFill>
            <a:srgbClr val="000000"/>
          </a:solidFill>
          <a:prstDash val="solid"/>
        </a:ln>
        <a:effectLst/>
      </c:spPr>
      <c:txPr>
        <a:bodyPr rot="0" spcFirstLastPara="1" vertOverflow="ellipsis" vert="horz" wrap="square" anchor="ctr" anchorCtr="1"/>
        <a:lstStyle/>
        <a:p>
          <a:pPr>
            <a:defRPr sz="900" b="0" i="0" u="none" strike="noStrike" kern="1200"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cap="flat" cmpd="sng" algn="ctr">
      <a:noFill/>
      <a:prstDash val="solid"/>
      <a:round/>
    </a:ln>
    <a:effectLst/>
  </c:spPr>
  <c:txPr>
    <a:bodyPr/>
    <a:lstStyle/>
    <a:p>
      <a:pPr>
        <a:defRPr sz="1575" b="0" i="0" u="none" strike="noStrike" baseline="0">
          <a:solidFill>
            <a:srgbClr val="000000"/>
          </a:solidFill>
          <a:latin typeface="Arial"/>
          <a:ea typeface="Arial"/>
          <a:cs typeface="Aria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7E21E-4826-4B7C-A629-755B3B037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2808</Words>
  <Characters>16009</Characters>
  <Application>Microsoft Office Word</Application>
  <DocSecurity>0</DocSecurity>
  <Lines>133</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Stan Kolaczkowski</cp:lastModifiedBy>
  <cp:revision>8</cp:revision>
  <cp:lastPrinted>2015-05-12T18:31:00Z</cp:lastPrinted>
  <dcterms:created xsi:type="dcterms:W3CDTF">2023-07-20T19:13:00Z</dcterms:created>
  <dcterms:modified xsi:type="dcterms:W3CDTF">2023-07-21T15:28:00Z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fcdc5e314cb0dda0c005ca020d4822a9eb94360657398e1ec0038726c623ccac</vt:lpwstr>
  </property>
</Properties>
</file>